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0E" w:rsidRDefault="00EF2B0E">
      <w:pPr>
        <w:rPr>
          <w:lang w:val="en-US"/>
        </w:rPr>
      </w:pPr>
    </w:p>
    <w:p w:rsidR="007D45C5" w:rsidRPr="007D45C5" w:rsidRDefault="007D45C5" w:rsidP="007D45C5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D45C5">
        <w:rPr>
          <w:rFonts w:ascii="Arial" w:hAnsi="Arial" w:cs="Arial"/>
          <w:b/>
          <w:sz w:val="24"/>
          <w:szCs w:val="24"/>
          <w:lang w:val="en-US"/>
        </w:rPr>
        <w:t xml:space="preserve">The Act to promote Transparency in Wage Structures </w:t>
      </w:r>
    </w:p>
    <w:p w:rsidR="007D45C5" w:rsidRPr="00C80EFF" w:rsidRDefault="007D45C5" w:rsidP="007D45C5">
      <w:pPr>
        <w:jc w:val="center"/>
        <w:rPr>
          <w:rFonts w:ascii="Arial" w:hAnsi="Arial" w:cs="Arial"/>
          <w:b/>
          <w:sz w:val="24"/>
          <w:szCs w:val="24"/>
        </w:rPr>
      </w:pPr>
      <w:r w:rsidRPr="00C80EFF">
        <w:rPr>
          <w:rFonts w:ascii="Arial" w:hAnsi="Arial" w:cs="Arial"/>
          <w:b/>
          <w:sz w:val="24"/>
          <w:szCs w:val="24"/>
        </w:rPr>
        <w:t>(</w:t>
      </w:r>
      <w:r w:rsidRPr="00C80EFF">
        <w:rPr>
          <w:rFonts w:ascii="Arial" w:hAnsi="Arial" w:cs="Arial"/>
          <w:b/>
          <w:i/>
          <w:iCs/>
          <w:sz w:val="24"/>
          <w:szCs w:val="24"/>
        </w:rPr>
        <w:t>Gesetz zur Förderung der Transparenz von Entgeltstrukturen</w:t>
      </w:r>
      <w:r w:rsidRPr="00C80EFF">
        <w:rPr>
          <w:rFonts w:ascii="Arial" w:hAnsi="Arial" w:cs="Arial"/>
          <w:b/>
          <w:sz w:val="24"/>
          <w:szCs w:val="24"/>
        </w:rPr>
        <w:t>)</w:t>
      </w:r>
    </w:p>
    <w:p w:rsidR="007D45C5" w:rsidRPr="00C80EFF" w:rsidRDefault="007D45C5" w:rsidP="007D45C5">
      <w:pPr>
        <w:rPr>
          <w:rFonts w:ascii="Arial" w:hAnsi="Arial" w:cs="Arial"/>
          <w:b/>
          <w:sz w:val="24"/>
          <w:szCs w:val="24"/>
        </w:rPr>
      </w:pPr>
    </w:p>
    <w:p w:rsidR="007D45C5" w:rsidRPr="00067920" w:rsidRDefault="007D45C5" w:rsidP="007D45C5">
      <w:pPr>
        <w:rPr>
          <w:rFonts w:ascii="Arial" w:hAnsi="Arial" w:cs="Arial"/>
          <w:b/>
          <w:sz w:val="24"/>
          <w:szCs w:val="24"/>
          <w:lang w:val="en-GB"/>
        </w:rPr>
      </w:pPr>
      <w:r w:rsidRPr="00067920">
        <w:rPr>
          <w:rFonts w:ascii="Arial" w:hAnsi="Arial" w:cs="Arial"/>
          <w:b/>
          <w:sz w:val="24"/>
          <w:szCs w:val="24"/>
          <w:lang w:val="en-GB"/>
        </w:rPr>
        <w:t xml:space="preserve">Article 1 – Wage Structure Transparency Act </w:t>
      </w:r>
    </w:p>
    <w:p w:rsidR="007D45C5" w:rsidRPr="00067920" w:rsidRDefault="007D45C5" w:rsidP="007D45C5">
      <w:pPr>
        <w:pStyle w:val="Text"/>
        <w:rPr>
          <w:sz w:val="24"/>
          <w:szCs w:val="24"/>
          <w:lang w:val="en-GB"/>
        </w:rPr>
      </w:pPr>
      <w:r w:rsidRPr="00067920">
        <w:rPr>
          <w:sz w:val="24"/>
          <w:szCs w:val="24"/>
          <w:lang w:val="en-GB"/>
        </w:rPr>
        <w:t xml:space="preserve">The </w:t>
      </w:r>
      <w:r w:rsidRPr="00067920">
        <w:rPr>
          <w:bCs/>
          <w:sz w:val="24"/>
          <w:szCs w:val="24"/>
          <w:lang w:val="en-GB"/>
        </w:rPr>
        <w:t>Act</w:t>
      </w:r>
      <w:r w:rsidRPr="00067920">
        <w:rPr>
          <w:b/>
          <w:sz w:val="24"/>
          <w:szCs w:val="24"/>
          <w:lang w:val="en-GB"/>
        </w:rPr>
        <w:t xml:space="preserve"> to promote Transparency in Wage Structures between Women and Men (</w:t>
      </w:r>
      <w:proofErr w:type="spellStart"/>
      <w:r w:rsidRPr="00067920">
        <w:rPr>
          <w:b/>
          <w:i/>
          <w:iCs/>
          <w:sz w:val="24"/>
          <w:szCs w:val="24"/>
          <w:lang w:val="en-GB"/>
        </w:rPr>
        <w:t>EntgTranspG</w:t>
      </w:r>
      <w:proofErr w:type="spellEnd"/>
      <w:r w:rsidRPr="00067920">
        <w:rPr>
          <w:b/>
          <w:sz w:val="24"/>
          <w:szCs w:val="24"/>
          <w:lang w:val="en-GB"/>
        </w:rPr>
        <w:t>)</w:t>
      </w:r>
      <w:r w:rsidRPr="00067920">
        <w:rPr>
          <w:sz w:val="24"/>
          <w:szCs w:val="24"/>
          <w:lang w:val="en-GB"/>
        </w:rPr>
        <w:t xml:space="preserve"> is based on four pillars:</w:t>
      </w:r>
    </w:p>
    <w:p w:rsidR="007D45C5" w:rsidRPr="00067920" w:rsidRDefault="007D45C5" w:rsidP="007D45C5">
      <w:pPr>
        <w:pStyle w:val="Text"/>
        <w:rPr>
          <w:sz w:val="24"/>
          <w:szCs w:val="24"/>
          <w:lang w:val="en-GB"/>
        </w:rPr>
      </w:pPr>
    </w:p>
    <w:p w:rsidR="007D45C5" w:rsidRPr="00067920" w:rsidRDefault="007D45C5" w:rsidP="007D45C5">
      <w:pPr>
        <w:pStyle w:val="Text"/>
        <w:numPr>
          <w:ilvl w:val="0"/>
          <w:numId w:val="2"/>
        </w:numPr>
        <w:ind w:left="567" w:hanging="567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The creation of a clear</w:t>
      </w:r>
      <w:r w:rsidRPr="00067920">
        <w:rPr>
          <w:b/>
          <w:sz w:val="24"/>
          <w:szCs w:val="24"/>
          <w:lang w:val="en-GB"/>
        </w:rPr>
        <w:t xml:space="preserve"> legal basis for the </w:t>
      </w:r>
      <w:r>
        <w:rPr>
          <w:b/>
          <w:sz w:val="24"/>
          <w:szCs w:val="24"/>
          <w:lang w:val="en-GB"/>
        </w:rPr>
        <w:t xml:space="preserve">principle of equal pay </w:t>
      </w:r>
      <w:r w:rsidRPr="00067920">
        <w:rPr>
          <w:b/>
          <w:sz w:val="24"/>
          <w:szCs w:val="24"/>
          <w:lang w:val="en-GB"/>
        </w:rPr>
        <w:t>and the definition of esse</w:t>
      </w:r>
      <w:r w:rsidRPr="00067920">
        <w:rPr>
          <w:b/>
          <w:sz w:val="24"/>
          <w:szCs w:val="24"/>
          <w:lang w:val="en-GB"/>
        </w:rPr>
        <w:t>n</w:t>
      </w:r>
      <w:r w:rsidRPr="00067920">
        <w:rPr>
          <w:b/>
          <w:sz w:val="24"/>
          <w:szCs w:val="24"/>
          <w:lang w:val="en-GB"/>
        </w:rPr>
        <w:t xml:space="preserve">tial terms </w:t>
      </w:r>
    </w:p>
    <w:p w:rsidR="007D45C5" w:rsidRPr="00067920" w:rsidRDefault="007D45C5" w:rsidP="007D45C5">
      <w:pPr>
        <w:pStyle w:val="Text"/>
        <w:numPr>
          <w:ilvl w:val="0"/>
          <w:numId w:val="5"/>
        </w:numPr>
        <w:ind w:left="567" w:hanging="567"/>
        <w:jc w:val="lef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</w:t>
      </w:r>
      <w:r w:rsidRPr="00067920">
        <w:rPr>
          <w:sz w:val="24"/>
          <w:szCs w:val="24"/>
          <w:lang w:val="en-GB"/>
        </w:rPr>
        <w:t xml:space="preserve">stablishing the rule of equal pay for equal </w:t>
      </w:r>
      <w:r>
        <w:rPr>
          <w:sz w:val="24"/>
          <w:szCs w:val="24"/>
          <w:lang w:val="en-GB"/>
        </w:rPr>
        <w:t xml:space="preserve">work </w:t>
      </w:r>
      <w:r w:rsidRPr="00067920">
        <w:rPr>
          <w:sz w:val="24"/>
          <w:szCs w:val="24"/>
          <w:lang w:val="en-GB"/>
        </w:rPr>
        <w:t xml:space="preserve">or </w:t>
      </w:r>
      <w:r>
        <w:rPr>
          <w:sz w:val="24"/>
          <w:szCs w:val="24"/>
          <w:lang w:val="en-GB"/>
        </w:rPr>
        <w:t>work of equal value</w:t>
      </w:r>
      <w:r w:rsidRPr="00067920">
        <w:rPr>
          <w:sz w:val="24"/>
          <w:szCs w:val="24"/>
          <w:lang w:val="en-GB"/>
        </w:rPr>
        <w:t xml:space="preserve"> by women and men </w:t>
      </w:r>
      <w:r>
        <w:rPr>
          <w:sz w:val="24"/>
          <w:szCs w:val="24"/>
          <w:lang w:val="en-GB"/>
        </w:rPr>
        <w:t>in u</w:t>
      </w:r>
      <w:r w:rsidRPr="00067920">
        <w:rPr>
          <w:sz w:val="24"/>
          <w:szCs w:val="24"/>
          <w:lang w:val="en-GB"/>
        </w:rPr>
        <w:t>nambiguous</w:t>
      </w:r>
      <w:r>
        <w:rPr>
          <w:sz w:val="24"/>
          <w:szCs w:val="24"/>
          <w:lang w:val="en-GB"/>
        </w:rPr>
        <w:t xml:space="preserve">, </w:t>
      </w:r>
      <w:r w:rsidRPr="00067920">
        <w:rPr>
          <w:sz w:val="24"/>
          <w:szCs w:val="24"/>
          <w:lang w:val="en-GB"/>
        </w:rPr>
        <w:t xml:space="preserve">transparent </w:t>
      </w:r>
      <w:r>
        <w:rPr>
          <w:sz w:val="24"/>
          <w:szCs w:val="24"/>
          <w:lang w:val="en-GB"/>
        </w:rPr>
        <w:t xml:space="preserve">terms, </w:t>
      </w:r>
      <w:r w:rsidRPr="00067920">
        <w:rPr>
          <w:sz w:val="24"/>
          <w:szCs w:val="24"/>
          <w:lang w:val="en-GB"/>
        </w:rPr>
        <w:t>in a separate core Act</w:t>
      </w:r>
    </w:p>
    <w:p w:rsidR="007D45C5" w:rsidRPr="00067920" w:rsidRDefault="007D45C5" w:rsidP="007D45C5">
      <w:pPr>
        <w:pStyle w:val="Text"/>
        <w:numPr>
          <w:ilvl w:val="0"/>
          <w:numId w:val="5"/>
        </w:numPr>
        <w:jc w:val="left"/>
        <w:rPr>
          <w:sz w:val="24"/>
          <w:szCs w:val="24"/>
          <w:lang w:val="en-GB"/>
        </w:rPr>
      </w:pPr>
      <w:r w:rsidRPr="00067920">
        <w:rPr>
          <w:sz w:val="24"/>
          <w:szCs w:val="24"/>
          <w:lang w:val="en-GB"/>
        </w:rPr>
        <w:t>Defini</w:t>
      </w:r>
      <w:r>
        <w:rPr>
          <w:sz w:val="24"/>
          <w:szCs w:val="24"/>
          <w:lang w:val="en-GB"/>
        </w:rPr>
        <w:t xml:space="preserve">ng the </w:t>
      </w:r>
      <w:r w:rsidRPr="00067920">
        <w:rPr>
          <w:sz w:val="24"/>
          <w:szCs w:val="24"/>
          <w:lang w:val="en-GB"/>
        </w:rPr>
        <w:t xml:space="preserve">main principles and terms </w:t>
      </w:r>
      <w:r>
        <w:rPr>
          <w:sz w:val="24"/>
          <w:szCs w:val="24"/>
          <w:lang w:val="en-GB"/>
        </w:rPr>
        <w:t>c</w:t>
      </w:r>
      <w:r w:rsidRPr="00067920">
        <w:rPr>
          <w:sz w:val="24"/>
          <w:szCs w:val="24"/>
          <w:lang w:val="en-GB"/>
        </w:rPr>
        <w:t>on</w:t>
      </w:r>
      <w:r>
        <w:rPr>
          <w:sz w:val="24"/>
          <w:szCs w:val="24"/>
          <w:lang w:val="en-GB"/>
        </w:rPr>
        <w:t>cerning</w:t>
      </w:r>
      <w:r w:rsidRPr="00067920">
        <w:rPr>
          <w:sz w:val="24"/>
          <w:szCs w:val="24"/>
          <w:lang w:val="en-GB"/>
        </w:rPr>
        <w:t xml:space="preserve"> the </w:t>
      </w:r>
      <w:r w:rsidRPr="00EF6EFF">
        <w:rPr>
          <w:bCs/>
          <w:sz w:val="24"/>
          <w:szCs w:val="24"/>
          <w:lang w:val="en-GB"/>
        </w:rPr>
        <w:t>principle of equal pay</w:t>
      </w:r>
      <w:r w:rsidRPr="00EF6EFF" w:rsidDel="00EF6EFF">
        <w:rPr>
          <w:bCs/>
          <w:sz w:val="24"/>
          <w:szCs w:val="24"/>
          <w:lang w:val="en-GB"/>
        </w:rPr>
        <w:t xml:space="preserve"> </w:t>
      </w:r>
      <w:r w:rsidRPr="00067920">
        <w:rPr>
          <w:bCs/>
          <w:sz w:val="24"/>
          <w:szCs w:val="24"/>
          <w:lang w:val="en-GB"/>
        </w:rPr>
        <w:t>between women and men</w:t>
      </w:r>
      <w:r w:rsidRPr="00067920">
        <w:rPr>
          <w:sz w:val="24"/>
          <w:szCs w:val="24"/>
          <w:lang w:val="en-GB"/>
        </w:rPr>
        <w:t xml:space="preserve">, in </w:t>
      </w:r>
      <w:r>
        <w:rPr>
          <w:sz w:val="24"/>
          <w:szCs w:val="24"/>
          <w:lang w:val="en-GB"/>
        </w:rPr>
        <w:t xml:space="preserve">particular </w:t>
      </w:r>
      <w:r w:rsidRPr="00067920">
        <w:rPr>
          <w:sz w:val="24"/>
          <w:szCs w:val="24"/>
          <w:lang w:val="en-GB"/>
        </w:rPr>
        <w:t xml:space="preserve">when it comes to transposing the stipulations contained in Article 157 </w:t>
      </w:r>
      <w:r>
        <w:rPr>
          <w:sz w:val="24"/>
          <w:szCs w:val="24"/>
          <w:lang w:val="en-GB"/>
        </w:rPr>
        <w:t>(</w:t>
      </w:r>
      <w:r w:rsidRPr="00067920">
        <w:rPr>
          <w:sz w:val="24"/>
          <w:szCs w:val="24"/>
          <w:lang w:val="en-GB"/>
        </w:rPr>
        <w:t>1</w:t>
      </w:r>
      <w:r>
        <w:rPr>
          <w:sz w:val="24"/>
          <w:szCs w:val="24"/>
          <w:lang w:val="en-GB"/>
        </w:rPr>
        <w:t>)</w:t>
      </w:r>
      <w:r w:rsidRPr="00067920">
        <w:rPr>
          <w:sz w:val="24"/>
          <w:szCs w:val="24"/>
          <w:lang w:val="en-GB"/>
        </w:rPr>
        <w:t xml:space="preserve"> and</w:t>
      </w:r>
      <w:r>
        <w:rPr>
          <w:sz w:val="24"/>
          <w:szCs w:val="24"/>
          <w:lang w:val="en-GB"/>
        </w:rPr>
        <w:t> (</w:t>
      </w:r>
      <w:r w:rsidRPr="00067920">
        <w:rPr>
          <w:sz w:val="24"/>
          <w:szCs w:val="24"/>
          <w:lang w:val="en-GB"/>
        </w:rPr>
        <w:t>2</w:t>
      </w:r>
      <w:r>
        <w:rPr>
          <w:sz w:val="24"/>
          <w:szCs w:val="24"/>
          <w:lang w:val="en-GB"/>
        </w:rPr>
        <w:t>)</w:t>
      </w:r>
      <w:r w:rsidRPr="00067920">
        <w:rPr>
          <w:sz w:val="24"/>
          <w:szCs w:val="24"/>
          <w:lang w:val="en-GB"/>
        </w:rPr>
        <w:t xml:space="preserve"> TFEU</w:t>
      </w:r>
      <w:r>
        <w:rPr>
          <w:sz w:val="24"/>
          <w:szCs w:val="24"/>
          <w:lang w:val="en-GB"/>
        </w:rPr>
        <w:t>, as well as in</w:t>
      </w:r>
      <w:r w:rsidRPr="00067920">
        <w:rPr>
          <w:sz w:val="24"/>
          <w:szCs w:val="24"/>
          <w:lang w:val="en-GB"/>
        </w:rPr>
        <w:t xml:space="preserve"> Directive 2006/54/EC and </w:t>
      </w:r>
      <w:r>
        <w:rPr>
          <w:sz w:val="24"/>
          <w:szCs w:val="24"/>
          <w:lang w:val="en-GB"/>
        </w:rPr>
        <w:t xml:space="preserve">in </w:t>
      </w:r>
      <w:r w:rsidRPr="00067920">
        <w:rPr>
          <w:sz w:val="24"/>
          <w:szCs w:val="24"/>
          <w:lang w:val="en-GB"/>
        </w:rPr>
        <w:t xml:space="preserve">the </w:t>
      </w:r>
      <w:r>
        <w:rPr>
          <w:sz w:val="24"/>
          <w:szCs w:val="24"/>
          <w:lang w:val="en-GB"/>
        </w:rPr>
        <w:t xml:space="preserve">settled </w:t>
      </w:r>
      <w:r w:rsidRPr="00067920">
        <w:rPr>
          <w:sz w:val="24"/>
          <w:szCs w:val="24"/>
          <w:lang w:val="en-GB"/>
        </w:rPr>
        <w:t>case-law of the</w:t>
      </w:r>
      <w:r w:rsidRPr="000836B2">
        <w:rPr>
          <w:sz w:val="24"/>
          <w:szCs w:val="24"/>
          <w:lang w:val="en-GB"/>
        </w:rPr>
        <w:t xml:space="preserve"> Court of Justice</w:t>
      </w:r>
      <w:r w:rsidRPr="00067920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(</w:t>
      </w:r>
      <w:r w:rsidRPr="00067920">
        <w:rPr>
          <w:sz w:val="24"/>
          <w:szCs w:val="24"/>
          <w:lang w:val="en-GB"/>
        </w:rPr>
        <w:t>ECJ</w:t>
      </w:r>
      <w:r>
        <w:rPr>
          <w:sz w:val="24"/>
          <w:szCs w:val="24"/>
          <w:lang w:val="en-GB"/>
        </w:rPr>
        <w:t>)</w:t>
      </w:r>
      <w:r w:rsidRPr="00067920">
        <w:rPr>
          <w:sz w:val="24"/>
          <w:szCs w:val="24"/>
          <w:lang w:val="en-GB"/>
        </w:rPr>
        <w:t xml:space="preserve">, including the following: </w:t>
      </w:r>
      <w:r>
        <w:rPr>
          <w:sz w:val="24"/>
          <w:szCs w:val="24"/>
          <w:lang w:val="en-GB"/>
        </w:rPr>
        <w:t xml:space="preserve"> </w:t>
      </w:r>
    </w:p>
    <w:p w:rsidR="007D45C5" w:rsidRPr="00067920" w:rsidRDefault="007D45C5" w:rsidP="007D45C5">
      <w:pPr>
        <w:pStyle w:val="Text"/>
        <w:numPr>
          <w:ilvl w:val="0"/>
          <w:numId w:val="3"/>
        </w:numPr>
        <w:tabs>
          <w:tab w:val="left" w:pos="900"/>
        </w:tabs>
        <w:ind w:left="720" w:hanging="153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prohibition of </w:t>
      </w:r>
      <w:r w:rsidRPr="00067920">
        <w:rPr>
          <w:sz w:val="24"/>
          <w:szCs w:val="24"/>
          <w:lang w:val="en-GB"/>
        </w:rPr>
        <w:t xml:space="preserve">direct and indirect pay discrimination </w:t>
      </w:r>
      <w:r>
        <w:rPr>
          <w:sz w:val="24"/>
          <w:szCs w:val="24"/>
          <w:lang w:val="en-GB"/>
        </w:rPr>
        <w:t xml:space="preserve">on grounds </w:t>
      </w:r>
      <w:r w:rsidRPr="00067920">
        <w:rPr>
          <w:sz w:val="24"/>
          <w:szCs w:val="24"/>
          <w:lang w:val="en-GB"/>
        </w:rPr>
        <w:t xml:space="preserve">of sex, </w:t>
      </w:r>
    </w:p>
    <w:p w:rsidR="007D45C5" w:rsidRPr="00067920" w:rsidRDefault="007D45C5" w:rsidP="007D45C5">
      <w:pPr>
        <w:pStyle w:val="Text"/>
        <w:numPr>
          <w:ilvl w:val="0"/>
          <w:numId w:val="3"/>
        </w:numPr>
        <w:tabs>
          <w:tab w:val="left" w:pos="900"/>
        </w:tabs>
        <w:ind w:left="993" w:hanging="426"/>
        <w:rPr>
          <w:sz w:val="24"/>
          <w:szCs w:val="24"/>
          <w:lang w:val="en-GB"/>
        </w:rPr>
      </w:pPr>
      <w:r w:rsidRPr="00067920">
        <w:rPr>
          <w:sz w:val="24"/>
          <w:szCs w:val="24"/>
          <w:lang w:val="en-GB"/>
        </w:rPr>
        <w:t xml:space="preserve">definitions of direct and indirect pay discrimination, </w:t>
      </w:r>
    </w:p>
    <w:p w:rsidR="007D45C5" w:rsidRPr="00067920" w:rsidRDefault="007D45C5" w:rsidP="007D45C5">
      <w:pPr>
        <w:pStyle w:val="Text"/>
        <w:numPr>
          <w:ilvl w:val="0"/>
          <w:numId w:val="3"/>
        </w:numPr>
        <w:tabs>
          <w:tab w:val="left" w:pos="900"/>
        </w:tabs>
        <w:ind w:left="993" w:hanging="426"/>
        <w:rPr>
          <w:sz w:val="24"/>
          <w:szCs w:val="24"/>
          <w:lang w:val="en-GB"/>
        </w:rPr>
      </w:pPr>
      <w:r w:rsidRPr="00067920">
        <w:rPr>
          <w:sz w:val="24"/>
          <w:szCs w:val="24"/>
          <w:lang w:val="en-GB"/>
        </w:rPr>
        <w:t>criteria for establishing what constitutes equivalent work, as well as</w:t>
      </w:r>
    </w:p>
    <w:p w:rsidR="007D45C5" w:rsidRPr="00067920" w:rsidRDefault="007D45C5" w:rsidP="007D45C5">
      <w:pPr>
        <w:pStyle w:val="Text"/>
        <w:numPr>
          <w:ilvl w:val="0"/>
          <w:numId w:val="3"/>
        </w:numPr>
        <w:tabs>
          <w:tab w:val="left" w:pos="900"/>
        </w:tabs>
        <w:ind w:left="993" w:hanging="426"/>
        <w:rPr>
          <w:sz w:val="24"/>
          <w:szCs w:val="24"/>
          <w:lang w:val="en-GB"/>
        </w:rPr>
      </w:pPr>
      <w:proofErr w:type="gramStart"/>
      <w:r w:rsidRPr="00067920">
        <w:rPr>
          <w:sz w:val="24"/>
          <w:szCs w:val="24"/>
          <w:lang w:val="en-GB"/>
        </w:rPr>
        <w:t>requirements</w:t>
      </w:r>
      <w:proofErr w:type="gramEnd"/>
      <w:r w:rsidRPr="00067920">
        <w:rPr>
          <w:sz w:val="24"/>
          <w:szCs w:val="24"/>
          <w:lang w:val="en-GB"/>
        </w:rPr>
        <w:t xml:space="preserve"> as to non-discriminatory pay systems. </w:t>
      </w:r>
    </w:p>
    <w:p w:rsidR="007D45C5" w:rsidRPr="00067920" w:rsidRDefault="007D45C5" w:rsidP="007D45C5">
      <w:pPr>
        <w:pStyle w:val="Text"/>
        <w:rPr>
          <w:sz w:val="24"/>
          <w:szCs w:val="24"/>
          <w:lang w:val="en-GB"/>
        </w:rPr>
      </w:pPr>
    </w:p>
    <w:p w:rsidR="007D45C5" w:rsidRPr="00067920" w:rsidRDefault="007D45C5" w:rsidP="007D45C5">
      <w:pPr>
        <w:pStyle w:val="Text"/>
        <w:numPr>
          <w:ilvl w:val="0"/>
          <w:numId w:val="2"/>
        </w:numPr>
        <w:rPr>
          <w:b/>
          <w:sz w:val="24"/>
          <w:szCs w:val="24"/>
          <w:lang w:val="en-GB"/>
        </w:rPr>
      </w:pPr>
      <w:r w:rsidRPr="00C80EFF">
        <w:rPr>
          <w:b/>
          <w:lang w:val="en-US"/>
        </w:rPr>
        <w:t>E</w:t>
      </w:r>
      <w:proofErr w:type="spellStart"/>
      <w:r w:rsidRPr="009E165E">
        <w:rPr>
          <w:b/>
          <w:sz w:val="24"/>
          <w:szCs w:val="24"/>
          <w:lang w:val="en-GB"/>
        </w:rPr>
        <w:t>ntitlement</w:t>
      </w:r>
      <w:proofErr w:type="spellEnd"/>
      <w:r w:rsidRPr="009E165E">
        <w:rPr>
          <w:b/>
          <w:sz w:val="24"/>
          <w:szCs w:val="24"/>
          <w:lang w:val="en-GB"/>
        </w:rPr>
        <w:t xml:space="preserve"> to request pay information</w:t>
      </w:r>
    </w:p>
    <w:p w:rsidR="007D45C5" w:rsidRPr="00067920" w:rsidRDefault="007D45C5" w:rsidP="007D45C5">
      <w:pPr>
        <w:pStyle w:val="Text"/>
        <w:numPr>
          <w:ilvl w:val="0"/>
          <w:numId w:val="5"/>
        </w:numPr>
        <w:ind w:left="567" w:hanging="567"/>
        <w:jc w:val="left"/>
        <w:rPr>
          <w:sz w:val="24"/>
          <w:szCs w:val="24"/>
          <w:lang w:val="en-GB"/>
        </w:rPr>
      </w:pPr>
      <w:r w:rsidRPr="00067920">
        <w:rPr>
          <w:sz w:val="24"/>
          <w:szCs w:val="24"/>
          <w:lang w:val="en-GB"/>
        </w:rPr>
        <w:t xml:space="preserve">Introduction of an individual right to disclosure for </w:t>
      </w:r>
      <w:r>
        <w:rPr>
          <w:sz w:val="24"/>
          <w:szCs w:val="24"/>
          <w:lang w:val="en-GB"/>
        </w:rPr>
        <w:t xml:space="preserve">up to </w:t>
      </w:r>
      <w:r w:rsidRPr="00067920">
        <w:rPr>
          <w:sz w:val="24"/>
          <w:szCs w:val="24"/>
          <w:lang w:val="en-GB"/>
        </w:rPr>
        <w:t>14 million private-sector workers, as well as for public-service employees</w:t>
      </w:r>
      <w:r w:rsidRPr="00067920">
        <w:rPr>
          <w:sz w:val="24"/>
          <w:szCs w:val="24"/>
          <w:vertAlign w:val="superscript"/>
          <w:lang w:val="en-GB"/>
        </w:rPr>
        <w:footnoteReference w:id="1"/>
      </w:r>
      <w:r w:rsidRPr="00067920">
        <w:rPr>
          <w:sz w:val="24"/>
          <w:szCs w:val="24"/>
          <w:lang w:val="en-GB"/>
        </w:rPr>
        <w:t>.</w:t>
      </w:r>
    </w:p>
    <w:p w:rsidR="007D45C5" w:rsidRPr="00067920" w:rsidRDefault="007D45C5" w:rsidP="007D45C5">
      <w:pPr>
        <w:pStyle w:val="Text"/>
        <w:numPr>
          <w:ilvl w:val="0"/>
          <w:numId w:val="5"/>
        </w:numPr>
        <w:ind w:left="567" w:hanging="567"/>
        <w:jc w:val="left"/>
        <w:rPr>
          <w:sz w:val="24"/>
          <w:szCs w:val="24"/>
          <w:lang w:val="en-GB"/>
        </w:rPr>
      </w:pPr>
      <w:r w:rsidRPr="00067920">
        <w:rPr>
          <w:b/>
          <w:sz w:val="24"/>
          <w:szCs w:val="24"/>
          <w:lang w:val="en-GB"/>
        </w:rPr>
        <w:t>Conditional on</w:t>
      </w:r>
      <w:r w:rsidRPr="00967CC4">
        <w:rPr>
          <w:b/>
          <w:bCs/>
          <w:sz w:val="24"/>
          <w:szCs w:val="24"/>
          <w:lang w:val="en-GB"/>
        </w:rPr>
        <w:t>:</w:t>
      </w:r>
      <w:r w:rsidRPr="00067920">
        <w:rPr>
          <w:sz w:val="24"/>
          <w:szCs w:val="24"/>
          <w:lang w:val="en-GB"/>
        </w:rPr>
        <w:t xml:space="preserve"> the </w:t>
      </w:r>
      <w:r>
        <w:rPr>
          <w:sz w:val="24"/>
          <w:szCs w:val="24"/>
          <w:lang w:val="en-GB"/>
        </w:rPr>
        <w:t xml:space="preserve">establishment </w:t>
      </w:r>
      <w:r w:rsidRPr="00067920">
        <w:rPr>
          <w:sz w:val="24"/>
          <w:szCs w:val="24"/>
          <w:lang w:val="en-GB"/>
        </w:rPr>
        <w:t>hav</w:t>
      </w:r>
      <w:r>
        <w:rPr>
          <w:sz w:val="24"/>
          <w:szCs w:val="24"/>
          <w:lang w:val="en-GB"/>
        </w:rPr>
        <w:t>ing</w:t>
      </w:r>
      <w:r w:rsidRPr="00067920">
        <w:rPr>
          <w:sz w:val="24"/>
          <w:szCs w:val="24"/>
          <w:lang w:val="en-GB"/>
        </w:rPr>
        <w:t xml:space="preserve"> </w:t>
      </w:r>
      <w:r w:rsidRPr="00067920">
        <w:rPr>
          <w:bCs/>
          <w:sz w:val="24"/>
          <w:szCs w:val="24"/>
          <w:lang w:val="en-GB"/>
        </w:rPr>
        <w:t>more than 200 employees</w:t>
      </w:r>
    </w:p>
    <w:p w:rsidR="007D45C5" w:rsidRPr="00067920" w:rsidRDefault="007D45C5" w:rsidP="007D45C5">
      <w:pPr>
        <w:pStyle w:val="Text"/>
        <w:numPr>
          <w:ilvl w:val="0"/>
          <w:numId w:val="5"/>
        </w:numPr>
        <w:ind w:left="567" w:hanging="567"/>
        <w:jc w:val="left"/>
        <w:rPr>
          <w:sz w:val="24"/>
          <w:szCs w:val="24"/>
          <w:lang w:val="en-GB"/>
        </w:rPr>
      </w:pPr>
      <w:r w:rsidRPr="00067920">
        <w:rPr>
          <w:sz w:val="24"/>
          <w:szCs w:val="24"/>
          <w:lang w:val="en-GB"/>
        </w:rPr>
        <w:t xml:space="preserve">The right to disclosure may be asserted repeatedly </w:t>
      </w:r>
      <w:r>
        <w:rPr>
          <w:sz w:val="24"/>
          <w:szCs w:val="24"/>
          <w:lang w:val="en-GB"/>
        </w:rPr>
        <w:t xml:space="preserve">after 2 years </w:t>
      </w:r>
      <w:r w:rsidRPr="00067920">
        <w:rPr>
          <w:sz w:val="24"/>
          <w:szCs w:val="24"/>
          <w:lang w:val="en-GB"/>
        </w:rPr>
        <w:t xml:space="preserve">if the statutory preconditions are satisfied (e.g. major changes). </w:t>
      </w:r>
    </w:p>
    <w:p w:rsidR="007D45C5" w:rsidRPr="00067920" w:rsidRDefault="007D45C5" w:rsidP="007D45C5">
      <w:pPr>
        <w:pStyle w:val="Text"/>
        <w:numPr>
          <w:ilvl w:val="0"/>
          <w:numId w:val="5"/>
        </w:numPr>
        <w:ind w:left="567" w:hanging="567"/>
        <w:jc w:val="left"/>
        <w:rPr>
          <w:sz w:val="24"/>
          <w:szCs w:val="24"/>
          <w:lang w:val="en-GB"/>
        </w:rPr>
      </w:pPr>
      <w:r w:rsidRPr="00067920">
        <w:rPr>
          <w:sz w:val="24"/>
          <w:szCs w:val="24"/>
          <w:lang w:val="en-GB"/>
        </w:rPr>
        <w:t xml:space="preserve">The right to disclosure includes </w:t>
      </w:r>
    </w:p>
    <w:p w:rsidR="007D45C5" w:rsidRPr="00067920" w:rsidRDefault="007D45C5" w:rsidP="007D45C5">
      <w:pPr>
        <w:pStyle w:val="Text"/>
        <w:numPr>
          <w:ilvl w:val="0"/>
          <w:numId w:val="3"/>
        </w:numPr>
        <w:tabs>
          <w:tab w:val="left" w:pos="900"/>
        </w:tabs>
        <w:ind w:left="900" w:hanging="333"/>
        <w:rPr>
          <w:sz w:val="24"/>
          <w:szCs w:val="24"/>
          <w:lang w:val="en-GB"/>
        </w:rPr>
      </w:pPr>
      <w:r w:rsidRPr="00067920">
        <w:rPr>
          <w:sz w:val="24"/>
          <w:szCs w:val="24"/>
          <w:lang w:val="en-GB"/>
        </w:rPr>
        <w:t xml:space="preserve">the </w:t>
      </w:r>
      <w:r w:rsidRPr="00067920">
        <w:rPr>
          <w:b/>
          <w:sz w:val="24"/>
          <w:szCs w:val="24"/>
          <w:lang w:val="en-GB"/>
        </w:rPr>
        <w:t xml:space="preserve">criteria and procedures for </w:t>
      </w:r>
      <w:r>
        <w:rPr>
          <w:b/>
          <w:sz w:val="24"/>
          <w:szCs w:val="24"/>
          <w:lang w:val="en-GB"/>
        </w:rPr>
        <w:t>pay-setting</w:t>
      </w:r>
      <w:r w:rsidRPr="00067920">
        <w:rPr>
          <w:sz w:val="24"/>
          <w:szCs w:val="24"/>
          <w:lang w:val="en-GB"/>
        </w:rPr>
        <w:t xml:space="preserve"> (own pay + </w:t>
      </w:r>
      <w:r>
        <w:rPr>
          <w:sz w:val="24"/>
          <w:szCs w:val="24"/>
          <w:lang w:val="en-GB"/>
        </w:rPr>
        <w:t>benchmark pay</w:t>
      </w:r>
      <w:r w:rsidRPr="00067920">
        <w:rPr>
          <w:sz w:val="24"/>
          <w:szCs w:val="24"/>
          <w:lang w:val="en-GB"/>
        </w:rPr>
        <w:t xml:space="preserve"> to which the enquiry refers)</w:t>
      </w:r>
      <w:r>
        <w:rPr>
          <w:sz w:val="24"/>
          <w:szCs w:val="24"/>
          <w:lang w:val="en-GB"/>
        </w:rPr>
        <w:t>,</w:t>
      </w:r>
      <w:r w:rsidRPr="00067920">
        <w:rPr>
          <w:sz w:val="24"/>
          <w:szCs w:val="24"/>
          <w:lang w:val="en-GB"/>
        </w:rPr>
        <w:t xml:space="preserve"> as well as</w:t>
      </w:r>
    </w:p>
    <w:p w:rsidR="007D45C5" w:rsidRPr="00067920" w:rsidRDefault="007D45C5" w:rsidP="007D45C5">
      <w:pPr>
        <w:pStyle w:val="Text"/>
        <w:numPr>
          <w:ilvl w:val="0"/>
          <w:numId w:val="3"/>
        </w:numPr>
        <w:tabs>
          <w:tab w:val="left" w:pos="900"/>
        </w:tabs>
        <w:ind w:left="900" w:hanging="333"/>
        <w:rPr>
          <w:sz w:val="24"/>
          <w:szCs w:val="24"/>
          <w:lang w:val="en-GB"/>
        </w:rPr>
      </w:pPr>
      <w:proofErr w:type="gramStart"/>
      <w:r w:rsidRPr="00067920">
        <w:rPr>
          <w:sz w:val="24"/>
          <w:szCs w:val="24"/>
          <w:lang w:val="en-GB"/>
        </w:rPr>
        <w:t>the</w:t>
      </w:r>
      <w:proofErr w:type="gramEnd"/>
      <w:r w:rsidRPr="00067920">
        <w:rPr>
          <w:sz w:val="24"/>
          <w:szCs w:val="24"/>
          <w:lang w:val="en-GB"/>
        </w:rPr>
        <w:t xml:space="preserve"> </w:t>
      </w:r>
      <w:r w:rsidRPr="00067920">
        <w:rPr>
          <w:b/>
          <w:sz w:val="24"/>
          <w:szCs w:val="24"/>
          <w:lang w:val="en-GB"/>
        </w:rPr>
        <w:t xml:space="preserve">amount </w:t>
      </w:r>
      <w:r w:rsidRPr="00067920">
        <w:rPr>
          <w:sz w:val="24"/>
          <w:szCs w:val="24"/>
          <w:lang w:val="en-GB"/>
        </w:rPr>
        <w:t xml:space="preserve">of the </w:t>
      </w:r>
      <w:r>
        <w:rPr>
          <w:sz w:val="24"/>
          <w:szCs w:val="24"/>
          <w:lang w:val="en-GB"/>
        </w:rPr>
        <w:t>benchmark pay</w:t>
      </w:r>
      <w:r w:rsidRPr="00067920">
        <w:rPr>
          <w:sz w:val="24"/>
          <w:szCs w:val="24"/>
          <w:lang w:val="en-GB"/>
        </w:rPr>
        <w:t xml:space="preserve"> to which the enquiry refers.</w:t>
      </w:r>
    </w:p>
    <w:p w:rsidR="007D45C5" w:rsidRPr="00067920" w:rsidRDefault="007D45C5" w:rsidP="007D45C5">
      <w:pPr>
        <w:pStyle w:val="Text"/>
        <w:numPr>
          <w:ilvl w:val="0"/>
          <w:numId w:val="5"/>
        </w:numPr>
        <w:ind w:left="567" w:hanging="567"/>
        <w:jc w:val="left"/>
        <w:rPr>
          <w:sz w:val="24"/>
          <w:szCs w:val="24"/>
          <w:lang w:val="en-GB"/>
        </w:rPr>
      </w:pPr>
      <w:r w:rsidRPr="00067920">
        <w:rPr>
          <w:sz w:val="24"/>
          <w:szCs w:val="24"/>
          <w:lang w:val="en-GB"/>
        </w:rPr>
        <w:t xml:space="preserve">In addition to the average monthly gross income, </w:t>
      </w:r>
      <w:r>
        <w:rPr>
          <w:sz w:val="24"/>
          <w:szCs w:val="24"/>
          <w:lang w:val="en-GB"/>
        </w:rPr>
        <w:t xml:space="preserve">the </w:t>
      </w:r>
      <w:r w:rsidRPr="00067920">
        <w:rPr>
          <w:sz w:val="24"/>
          <w:szCs w:val="24"/>
          <w:lang w:val="en-GB"/>
        </w:rPr>
        <w:t xml:space="preserve">enquiry can </w:t>
      </w:r>
      <w:r>
        <w:rPr>
          <w:sz w:val="24"/>
          <w:szCs w:val="24"/>
          <w:lang w:val="en-GB"/>
        </w:rPr>
        <w:t xml:space="preserve">refer to </w:t>
      </w:r>
      <w:r w:rsidRPr="00067920">
        <w:rPr>
          <w:b/>
          <w:sz w:val="24"/>
          <w:szCs w:val="24"/>
          <w:lang w:val="en-GB"/>
        </w:rPr>
        <w:t>up to two separate pay components</w:t>
      </w:r>
      <w:r w:rsidRPr="00067920">
        <w:rPr>
          <w:sz w:val="24"/>
          <w:szCs w:val="24"/>
          <w:lang w:val="en-GB"/>
        </w:rPr>
        <w:t xml:space="preserve">. </w:t>
      </w:r>
    </w:p>
    <w:p w:rsidR="007D45C5" w:rsidRPr="00067920" w:rsidRDefault="007D45C5" w:rsidP="007D45C5">
      <w:pPr>
        <w:pStyle w:val="Text"/>
        <w:keepNext/>
        <w:widowControl w:val="0"/>
        <w:numPr>
          <w:ilvl w:val="0"/>
          <w:numId w:val="5"/>
        </w:numPr>
        <w:ind w:left="567" w:hanging="567"/>
        <w:jc w:val="left"/>
        <w:rPr>
          <w:sz w:val="24"/>
          <w:szCs w:val="24"/>
          <w:lang w:val="en-GB"/>
        </w:rPr>
      </w:pPr>
      <w:r w:rsidRPr="00067920">
        <w:rPr>
          <w:sz w:val="24"/>
          <w:szCs w:val="24"/>
          <w:lang w:val="en-GB"/>
        </w:rPr>
        <w:t>The extent of the right to disclosure depends on whether the employer</w:t>
      </w:r>
      <w:r>
        <w:rPr>
          <w:sz w:val="24"/>
          <w:szCs w:val="24"/>
          <w:lang w:val="en-GB"/>
        </w:rPr>
        <w:t xml:space="preserve"> is bound by </w:t>
      </w:r>
      <w:r w:rsidRPr="00067920">
        <w:rPr>
          <w:sz w:val="24"/>
          <w:szCs w:val="24"/>
          <w:lang w:val="en-GB"/>
        </w:rPr>
        <w:t xml:space="preserve">a collective </w:t>
      </w:r>
      <w:r>
        <w:rPr>
          <w:sz w:val="24"/>
          <w:szCs w:val="24"/>
          <w:lang w:val="en-GB"/>
        </w:rPr>
        <w:t xml:space="preserve">pay </w:t>
      </w:r>
      <w:r w:rsidRPr="00067920">
        <w:rPr>
          <w:sz w:val="24"/>
          <w:szCs w:val="24"/>
          <w:lang w:val="en-GB"/>
        </w:rPr>
        <w:t>agreement</w:t>
      </w:r>
      <w:r>
        <w:rPr>
          <w:sz w:val="24"/>
          <w:szCs w:val="24"/>
          <w:lang w:val="en-GB"/>
        </w:rPr>
        <w:t>,</w:t>
      </w:r>
      <w:r w:rsidRPr="00067920">
        <w:rPr>
          <w:sz w:val="24"/>
          <w:szCs w:val="24"/>
          <w:lang w:val="en-GB"/>
        </w:rPr>
        <w:t xml:space="preserve"> or </w:t>
      </w:r>
      <w:r>
        <w:rPr>
          <w:sz w:val="24"/>
          <w:szCs w:val="24"/>
          <w:lang w:val="en-GB"/>
        </w:rPr>
        <w:t xml:space="preserve">the employer voluntarily applies such an </w:t>
      </w:r>
      <w:r>
        <w:rPr>
          <w:sz w:val="24"/>
          <w:szCs w:val="24"/>
          <w:lang w:val="en-GB"/>
        </w:rPr>
        <w:lastRenderedPageBreak/>
        <w:t>agreement,</w:t>
      </w:r>
      <w:r w:rsidRPr="00067920">
        <w:rPr>
          <w:sz w:val="24"/>
          <w:szCs w:val="24"/>
          <w:lang w:val="en-GB"/>
        </w:rPr>
        <w:t xml:space="preserve"> within the meaning of the Act:</w:t>
      </w:r>
    </w:p>
    <w:p w:rsidR="007D45C5" w:rsidRPr="00067920" w:rsidRDefault="007D45C5" w:rsidP="007D45C5">
      <w:pPr>
        <w:pStyle w:val="ListeStufe1"/>
        <w:keepNext/>
        <w:widowControl w:val="0"/>
        <w:numPr>
          <w:ilvl w:val="0"/>
          <w:numId w:val="4"/>
        </w:numPr>
        <w:tabs>
          <w:tab w:val="left" w:pos="900"/>
        </w:tabs>
        <w:ind w:left="900"/>
        <w:rPr>
          <w:b/>
          <w:sz w:val="24"/>
          <w:szCs w:val="24"/>
          <w:lang w:val="en-GB"/>
        </w:rPr>
      </w:pPr>
      <w:r w:rsidRPr="00067920">
        <w:rPr>
          <w:b/>
          <w:sz w:val="24"/>
          <w:szCs w:val="24"/>
          <w:lang w:val="en-GB"/>
        </w:rPr>
        <w:t xml:space="preserve">if </w:t>
      </w:r>
      <w:r w:rsidRPr="00067920">
        <w:rPr>
          <w:b/>
          <w:bCs/>
          <w:sz w:val="24"/>
          <w:szCs w:val="24"/>
          <w:lang w:val="en-GB"/>
        </w:rPr>
        <w:t xml:space="preserve">the employer is </w:t>
      </w:r>
      <w:r>
        <w:rPr>
          <w:b/>
          <w:bCs/>
          <w:sz w:val="24"/>
          <w:szCs w:val="24"/>
          <w:lang w:val="en-GB"/>
        </w:rPr>
        <w:t xml:space="preserve">bound by </w:t>
      </w:r>
      <w:r w:rsidRPr="00067920">
        <w:rPr>
          <w:b/>
          <w:bCs/>
          <w:sz w:val="24"/>
          <w:szCs w:val="24"/>
          <w:lang w:val="en-GB"/>
        </w:rPr>
        <w:t xml:space="preserve">a collective agreement or </w:t>
      </w:r>
      <w:r w:rsidRPr="00BE07C7">
        <w:rPr>
          <w:b/>
          <w:bCs/>
          <w:sz w:val="24"/>
          <w:szCs w:val="24"/>
          <w:lang w:val="en-GB"/>
        </w:rPr>
        <w:t>voluntarily applies such an agreement</w:t>
      </w:r>
      <w:r>
        <w:rPr>
          <w:b/>
          <w:bCs/>
          <w:sz w:val="24"/>
          <w:szCs w:val="24"/>
          <w:lang w:val="en-GB"/>
        </w:rPr>
        <w:t xml:space="preserve"> (section 14)</w:t>
      </w:r>
      <w:r w:rsidRPr="00067920">
        <w:rPr>
          <w:b/>
          <w:sz w:val="24"/>
          <w:szCs w:val="24"/>
          <w:lang w:val="en-GB"/>
        </w:rPr>
        <w:t xml:space="preserve">: </w:t>
      </w:r>
    </w:p>
    <w:p w:rsidR="007D45C5" w:rsidRPr="00067920" w:rsidRDefault="007D45C5" w:rsidP="007D45C5">
      <w:pPr>
        <w:pStyle w:val="ListeStufe1"/>
        <w:keepNext/>
        <w:widowControl w:val="0"/>
        <w:numPr>
          <w:ilvl w:val="1"/>
          <w:numId w:val="4"/>
        </w:numPr>
        <w:ind w:left="1418" w:hanging="425"/>
        <w:rPr>
          <w:sz w:val="24"/>
          <w:szCs w:val="24"/>
          <w:lang w:val="en-GB"/>
        </w:rPr>
      </w:pPr>
      <w:r w:rsidRPr="00067920">
        <w:rPr>
          <w:sz w:val="24"/>
          <w:szCs w:val="24"/>
          <w:u w:val="single"/>
          <w:lang w:val="en-GB"/>
        </w:rPr>
        <w:t>with a works council:</w:t>
      </w:r>
      <w:r w:rsidRPr="00067920">
        <w:rPr>
          <w:sz w:val="24"/>
          <w:szCs w:val="24"/>
          <w:lang w:val="en-GB"/>
        </w:rPr>
        <w:t xml:space="preserve"> The enquiry is answered by the works council as a matter of principle, but the employer can provide the response, or can be requested by the works council to provide it; the employer is then to provide comprehensive information to the works council with regard to its response.  </w:t>
      </w:r>
    </w:p>
    <w:p w:rsidR="007D45C5" w:rsidRPr="00067920" w:rsidRDefault="007D45C5" w:rsidP="007D45C5">
      <w:pPr>
        <w:pStyle w:val="ListeStufe1"/>
        <w:numPr>
          <w:ilvl w:val="1"/>
          <w:numId w:val="4"/>
        </w:numPr>
        <w:ind w:left="1418" w:hanging="425"/>
        <w:rPr>
          <w:sz w:val="24"/>
          <w:szCs w:val="24"/>
          <w:lang w:val="en-GB"/>
        </w:rPr>
      </w:pPr>
      <w:r w:rsidRPr="00067920">
        <w:rPr>
          <w:sz w:val="24"/>
          <w:szCs w:val="24"/>
          <w:u w:val="single"/>
          <w:lang w:val="en-GB"/>
        </w:rPr>
        <w:t>without a works council:</w:t>
      </w:r>
      <w:r w:rsidRPr="00067920">
        <w:rPr>
          <w:sz w:val="24"/>
          <w:szCs w:val="24"/>
          <w:lang w:val="en-GB"/>
        </w:rPr>
        <w:t xml:space="preserve"> The </w:t>
      </w:r>
      <w:r>
        <w:rPr>
          <w:sz w:val="24"/>
          <w:szCs w:val="24"/>
          <w:lang w:val="en-GB"/>
        </w:rPr>
        <w:t xml:space="preserve">enquiry is </w:t>
      </w:r>
      <w:r w:rsidRPr="00067920">
        <w:rPr>
          <w:sz w:val="24"/>
          <w:szCs w:val="24"/>
          <w:lang w:val="en-GB"/>
        </w:rPr>
        <w:t>answer</w:t>
      </w:r>
      <w:r>
        <w:rPr>
          <w:sz w:val="24"/>
          <w:szCs w:val="24"/>
          <w:lang w:val="en-GB"/>
        </w:rPr>
        <w:t>ed</w:t>
      </w:r>
      <w:r w:rsidRPr="00067920">
        <w:rPr>
          <w:sz w:val="24"/>
          <w:szCs w:val="24"/>
          <w:lang w:val="en-GB"/>
        </w:rPr>
        <w:t xml:space="preserve"> by the employer as a matter of principle, but the possibility exists for an agreement to be reached between representatives of the parties to the collective agreement</w:t>
      </w:r>
      <w:r>
        <w:rPr>
          <w:sz w:val="24"/>
          <w:szCs w:val="24"/>
          <w:lang w:val="en-GB"/>
        </w:rPr>
        <w:t xml:space="preserve"> </w:t>
      </w:r>
      <w:r w:rsidRPr="00067920">
        <w:rPr>
          <w:sz w:val="24"/>
          <w:szCs w:val="24"/>
          <w:lang w:val="en-GB"/>
        </w:rPr>
        <w:t xml:space="preserve"> and the employer according to which the latter exercises the right to disclosure. </w:t>
      </w:r>
    </w:p>
    <w:p w:rsidR="007D45C5" w:rsidRPr="00067920" w:rsidRDefault="007D45C5" w:rsidP="007D45C5">
      <w:pPr>
        <w:pStyle w:val="ListeStufe1"/>
        <w:numPr>
          <w:ilvl w:val="1"/>
          <w:numId w:val="4"/>
        </w:numPr>
        <w:rPr>
          <w:sz w:val="24"/>
          <w:szCs w:val="24"/>
          <w:lang w:val="en-GB"/>
        </w:rPr>
      </w:pPr>
      <w:r w:rsidRPr="00401B21">
        <w:rPr>
          <w:sz w:val="24"/>
          <w:szCs w:val="24"/>
          <w:lang w:val="en-GB"/>
        </w:rPr>
        <w:t xml:space="preserve">no determination required to assess whether workers are performing work of equal value </w:t>
      </w:r>
      <w:r w:rsidRPr="00067920">
        <w:rPr>
          <w:sz w:val="24"/>
          <w:szCs w:val="24"/>
          <w:lang w:val="en-GB"/>
        </w:rPr>
        <w:t xml:space="preserve">with regard to the </w:t>
      </w:r>
      <w:r>
        <w:rPr>
          <w:sz w:val="24"/>
          <w:szCs w:val="24"/>
          <w:lang w:val="en-GB"/>
        </w:rPr>
        <w:t>benchmark</w:t>
      </w:r>
      <w:r w:rsidRPr="00067920">
        <w:rPr>
          <w:sz w:val="24"/>
          <w:szCs w:val="24"/>
          <w:lang w:val="en-GB"/>
        </w:rPr>
        <w:t xml:space="preserve"> work to which the enquiry refers </w:t>
      </w:r>
      <w:r w:rsidRPr="00067920">
        <w:rPr>
          <w:sz w:val="24"/>
          <w:szCs w:val="24"/>
          <w:lang w:val="en-GB"/>
        </w:rPr>
        <w:sym w:font="Wingdings" w:char="F0E0"/>
      </w:r>
      <w:r w:rsidRPr="00067920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s</w:t>
      </w:r>
      <w:r w:rsidRPr="00067920">
        <w:rPr>
          <w:sz w:val="24"/>
          <w:szCs w:val="24"/>
          <w:lang w:val="en-GB"/>
        </w:rPr>
        <w:t xml:space="preserve">ufficient to state the remuneration or </w:t>
      </w:r>
      <w:r>
        <w:rPr>
          <w:sz w:val="24"/>
          <w:szCs w:val="24"/>
          <w:lang w:val="en-GB"/>
        </w:rPr>
        <w:t>pay group or</w:t>
      </w:r>
      <w:r w:rsidRPr="00067920">
        <w:rPr>
          <w:sz w:val="24"/>
          <w:szCs w:val="24"/>
          <w:lang w:val="en-GB"/>
        </w:rPr>
        <w:t xml:space="preserve"> grade </w:t>
      </w:r>
    </w:p>
    <w:p w:rsidR="007D45C5" w:rsidRPr="00067920" w:rsidRDefault="007D45C5" w:rsidP="007D45C5">
      <w:pPr>
        <w:pStyle w:val="ListeStufe1"/>
        <w:numPr>
          <w:ilvl w:val="1"/>
          <w:numId w:val="4"/>
        </w:numPr>
        <w:ind w:left="1418" w:hanging="425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Benchmark pay</w:t>
      </w:r>
      <w:r w:rsidRPr="00067920">
        <w:rPr>
          <w:sz w:val="24"/>
          <w:szCs w:val="24"/>
          <w:lang w:val="en-GB"/>
        </w:rPr>
        <w:t xml:space="preserve"> is to be stated as a </w:t>
      </w:r>
      <w:r w:rsidRPr="00067920">
        <w:rPr>
          <w:b/>
          <w:sz w:val="24"/>
          <w:szCs w:val="24"/>
          <w:lang w:val="en-GB"/>
        </w:rPr>
        <w:t>statistical median of the average monthly gross pay</w:t>
      </w:r>
      <w:r w:rsidRPr="00067920">
        <w:rPr>
          <w:sz w:val="24"/>
          <w:szCs w:val="24"/>
          <w:lang w:val="en-GB"/>
        </w:rPr>
        <w:t xml:space="preserve"> of all employees of the respectively other sex in the </w:t>
      </w:r>
      <w:r w:rsidRPr="00067920">
        <w:rPr>
          <w:b/>
          <w:sz w:val="24"/>
          <w:szCs w:val="24"/>
          <w:lang w:val="en-GB"/>
        </w:rPr>
        <w:t xml:space="preserve">same </w:t>
      </w:r>
      <w:r>
        <w:rPr>
          <w:b/>
          <w:sz w:val="24"/>
          <w:szCs w:val="24"/>
          <w:lang w:val="en-GB"/>
        </w:rPr>
        <w:t>pay grade</w:t>
      </w:r>
      <w:r w:rsidRPr="00067920">
        <w:rPr>
          <w:b/>
          <w:sz w:val="24"/>
          <w:szCs w:val="24"/>
          <w:lang w:val="en-GB"/>
        </w:rPr>
        <w:t xml:space="preserve"> </w:t>
      </w:r>
      <w:r w:rsidRPr="00067920">
        <w:rPr>
          <w:sz w:val="24"/>
          <w:szCs w:val="24"/>
          <w:lang w:val="en-GB"/>
        </w:rPr>
        <w:t>as the employee requesting the information</w:t>
      </w:r>
      <w:r>
        <w:rPr>
          <w:sz w:val="24"/>
          <w:szCs w:val="24"/>
          <w:lang w:val="en-GB"/>
        </w:rPr>
        <w:t>.</w:t>
      </w:r>
    </w:p>
    <w:p w:rsidR="007D45C5" w:rsidRPr="00067920" w:rsidRDefault="007D45C5" w:rsidP="007D45C5">
      <w:pPr>
        <w:pStyle w:val="ListeStufe1"/>
        <w:numPr>
          <w:ilvl w:val="0"/>
          <w:numId w:val="4"/>
        </w:numPr>
        <w:tabs>
          <w:tab w:val="left" w:pos="900"/>
        </w:tabs>
        <w:ind w:left="993" w:hanging="426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if the employer is not bound by a collective agreement and not</w:t>
      </w:r>
      <w:r w:rsidRPr="00067920">
        <w:rPr>
          <w:b/>
          <w:sz w:val="24"/>
          <w:szCs w:val="24"/>
          <w:lang w:val="en-GB"/>
        </w:rPr>
        <w:t xml:space="preserve"> </w:t>
      </w:r>
      <w:r w:rsidRPr="00BE07C7">
        <w:rPr>
          <w:b/>
          <w:bCs/>
          <w:sz w:val="24"/>
          <w:szCs w:val="24"/>
          <w:lang w:val="en-GB"/>
        </w:rPr>
        <w:t>voluntarily appl</w:t>
      </w:r>
      <w:r>
        <w:rPr>
          <w:b/>
          <w:bCs/>
          <w:sz w:val="24"/>
          <w:szCs w:val="24"/>
          <w:lang w:val="en-GB"/>
        </w:rPr>
        <w:t>ying a collective</w:t>
      </w:r>
      <w:r w:rsidRPr="00BE07C7">
        <w:rPr>
          <w:b/>
          <w:bCs/>
          <w:sz w:val="24"/>
          <w:szCs w:val="24"/>
          <w:lang w:val="en-GB"/>
        </w:rPr>
        <w:t xml:space="preserve"> agreement</w:t>
      </w:r>
      <w:r w:rsidRPr="00067920">
        <w:rPr>
          <w:b/>
          <w:sz w:val="24"/>
          <w:szCs w:val="24"/>
          <w:lang w:val="en-GB"/>
        </w:rPr>
        <w:t xml:space="preserve"> (section 15) </w:t>
      </w:r>
    </w:p>
    <w:p w:rsidR="007D45C5" w:rsidRPr="00067920" w:rsidRDefault="007D45C5" w:rsidP="007D45C5">
      <w:pPr>
        <w:pStyle w:val="ListeStufe1"/>
        <w:numPr>
          <w:ilvl w:val="1"/>
          <w:numId w:val="4"/>
        </w:numPr>
        <w:ind w:left="1418" w:hanging="425"/>
        <w:rPr>
          <w:b/>
          <w:sz w:val="24"/>
          <w:szCs w:val="24"/>
          <w:lang w:val="en-GB"/>
        </w:rPr>
      </w:pPr>
      <w:proofErr w:type="gramStart"/>
      <w:r w:rsidRPr="00067920">
        <w:rPr>
          <w:sz w:val="24"/>
          <w:szCs w:val="24"/>
          <w:u w:val="single"/>
          <w:lang w:val="en-GB"/>
        </w:rPr>
        <w:t>without</w:t>
      </w:r>
      <w:proofErr w:type="gramEnd"/>
      <w:r w:rsidRPr="00067920">
        <w:rPr>
          <w:sz w:val="24"/>
          <w:szCs w:val="24"/>
          <w:u w:val="single"/>
          <w:lang w:val="en-GB"/>
        </w:rPr>
        <w:t xml:space="preserve"> a works council:</w:t>
      </w:r>
      <w:r w:rsidRPr="00067920">
        <w:rPr>
          <w:sz w:val="24"/>
          <w:szCs w:val="24"/>
          <w:lang w:val="en-GB"/>
        </w:rPr>
        <w:t xml:space="preserve"> The </w:t>
      </w:r>
      <w:r>
        <w:rPr>
          <w:sz w:val="24"/>
          <w:szCs w:val="24"/>
          <w:lang w:val="en-GB"/>
        </w:rPr>
        <w:t xml:space="preserve">enquiry is </w:t>
      </w:r>
      <w:r w:rsidRPr="00067920">
        <w:rPr>
          <w:sz w:val="24"/>
          <w:szCs w:val="24"/>
          <w:lang w:val="en-GB"/>
        </w:rPr>
        <w:t>answer</w:t>
      </w:r>
      <w:r>
        <w:rPr>
          <w:sz w:val="24"/>
          <w:szCs w:val="24"/>
          <w:lang w:val="en-GB"/>
        </w:rPr>
        <w:t>ed</w:t>
      </w:r>
      <w:r w:rsidRPr="00067920">
        <w:rPr>
          <w:sz w:val="24"/>
          <w:szCs w:val="24"/>
          <w:lang w:val="en-GB"/>
        </w:rPr>
        <w:t xml:space="preserve"> by the employer</w:t>
      </w:r>
      <w:r>
        <w:rPr>
          <w:sz w:val="24"/>
          <w:szCs w:val="24"/>
          <w:lang w:val="en-GB"/>
        </w:rPr>
        <w:t>.</w:t>
      </w:r>
    </w:p>
    <w:p w:rsidR="007D45C5" w:rsidRPr="00067920" w:rsidRDefault="007D45C5" w:rsidP="007D45C5">
      <w:pPr>
        <w:pStyle w:val="ListeStufe1"/>
        <w:numPr>
          <w:ilvl w:val="1"/>
          <w:numId w:val="4"/>
        </w:numPr>
        <w:ind w:left="1418" w:hanging="425"/>
        <w:rPr>
          <w:sz w:val="24"/>
          <w:szCs w:val="24"/>
          <w:lang w:val="en-GB"/>
        </w:rPr>
      </w:pPr>
      <w:r w:rsidRPr="00067920">
        <w:rPr>
          <w:sz w:val="24"/>
          <w:szCs w:val="24"/>
          <w:u w:val="single"/>
          <w:lang w:val="en-GB"/>
        </w:rPr>
        <w:t>with a works council:</w:t>
      </w:r>
      <w:r w:rsidRPr="00067920">
        <w:rPr>
          <w:sz w:val="24"/>
          <w:szCs w:val="24"/>
          <w:lang w:val="en-GB"/>
        </w:rPr>
        <w:t xml:space="preserve"> The enquiry is answered by the works council as a matter of principle, but the employer can provide the response, or can be requested by the works council to provide it; the employer is then to provide comprehensive information to the works council with regard to its response</w:t>
      </w:r>
      <w:r>
        <w:rPr>
          <w:sz w:val="24"/>
          <w:szCs w:val="24"/>
          <w:lang w:val="en-GB"/>
        </w:rPr>
        <w:t>.</w:t>
      </w:r>
    </w:p>
    <w:p w:rsidR="007D45C5" w:rsidRPr="00067920" w:rsidRDefault="007D45C5" w:rsidP="007D45C5">
      <w:pPr>
        <w:pStyle w:val="ListeStufe1"/>
        <w:numPr>
          <w:ilvl w:val="1"/>
          <w:numId w:val="4"/>
        </w:numPr>
        <w:ind w:left="1418" w:hanging="425"/>
        <w:rPr>
          <w:sz w:val="24"/>
          <w:szCs w:val="24"/>
          <w:lang w:val="en-GB"/>
        </w:rPr>
      </w:pPr>
      <w:r w:rsidRPr="00401B21">
        <w:rPr>
          <w:sz w:val="24"/>
          <w:szCs w:val="24"/>
          <w:lang w:val="en-GB"/>
        </w:rPr>
        <w:t xml:space="preserve">determination required to assess whether workers are performing work of equal value </w:t>
      </w:r>
      <w:r w:rsidRPr="00067920">
        <w:rPr>
          <w:sz w:val="24"/>
          <w:szCs w:val="24"/>
          <w:lang w:val="en-GB"/>
        </w:rPr>
        <w:t xml:space="preserve">with regard to the </w:t>
      </w:r>
      <w:r>
        <w:rPr>
          <w:sz w:val="24"/>
          <w:szCs w:val="24"/>
          <w:lang w:val="en-GB"/>
        </w:rPr>
        <w:t>benchmark</w:t>
      </w:r>
      <w:r w:rsidRPr="00067920">
        <w:rPr>
          <w:sz w:val="24"/>
          <w:szCs w:val="24"/>
          <w:lang w:val="en-GB"/>
        </w:rPr>
        <w:t xml:space="preserve"> work to which the enquiry refers </w:t>
      </w:r>
      <w:r>
        <w:rPr>
          <w:sz w:val="24"/>
          <w:szCs w:val="24"/>
          <w:lang w:val="en-GB"/>
        </w:rPr>
        <w:t>required to be carried out by</w:t>
      </w:r>
      <w:r w:rsidRPr="00067920">
        <w:rPr>
          <w:sz w:val="24"/>
          <w:szCs w:val="24"/>
          <w:lang w:val="en-GB"/>
        </w:rPr>
        <w:t xml:space="preserve"> the employer or works council </w:t>
      </w:r>
    </w:p>
    <w:p w:rsidR="007D45C5" w:rsidRPr="00067920" w:rsidRDefault="007D45C5" w:rsidP="007D45C5">
      <w:pPr>
        <w:pStyle w:val="ListeStufe1"/>
        <w:numPr>
          <w:ilvl w:val="1"/>
          <w:numId w:val="4"/>
        </w:numPr>
        <w:ind w:left="1418" w:hanging="425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Benchmark pay</w:t>
      </w:r>
      <w:r w:rsidRPr="00067920">
        <w:rPr>
          <w:sz w:val="24"/>
          <w:szCs w:val="24"/>
          <w:lang w:val="en-GB"/>
        </w:rPr>
        <w:t xml:space="preserve"> is to be state</w:t>
      </w:r>
      <w:r>
        <w:rPr>
          <w:sz w:val="24"/>
          <w:szCs w:val="24"/>
          <w:lang w:val="en-GB"/>
        </w:rPr>
        <w:t xml:space="preserve">d </w:t>
      </w:r>
      <w:r w:rsidRPr="00067920">
        <w:rPr>
          <w:sz w:val="24"/>
          <w:szCs w:val="24"/>
          <w:lang w:val="en-GB"/>
        </w:rPr>
        <w:t xml:space="preserve">as the </w:t>
      </w:r>
      <w:r w:rsidRPr="00067920">
        <w:rPr>
          <w:b/>
          <w:sz w:val="24"/>
          <w:szCs w:val="24"/>
          <w:lang w:val="en-GB"/>
        </w:rPr>
        <w:t>statistical median of the average monthly gross pay</w:t>
      </w:r>
      <w:r w:rsidRPr="00067920">
        <w:rPr>
          <w:sz w:val="24"/>
          <w:szCs w:val="24"/>
          <w:lang w:val="en-GB"/>
        </w:rPr>
        <w:t xml:space="preserve"> of all employees of the respectively other sex performing the respective </w:t>
      </w:r>
      <w:r>
        <w:rPr>
          <w:sz w:val="24"/>
          <w:szCs w:val="24"/>
          <w:lang w:val="en-GB"/>
        </w:rPr>
        <w:t>benchmark</w:t>
      </w:r>
      <w:r w:rsidRPr="00067920">
        <w:rPr>
          <w:sz w:val="24"/>
          <w:szCs w:val="24"/>
          <w:lang w:val="en-GB"/>
        </w:rPr>
        <w:t xml:space="preserve"> activity. </w:t>
      </w:r>
    </w:p>
    <w:p w:rsidR="007D45C5" w:rsidRPr="00067920" w:rsidRDefault="007D45C5" w:rsidP="007D45C5">
      <w:pPr>
        <w:pStyle w:val="Text"/>
        <w:numPr>
          <w:ilvl w:val="0"/>
          <w:numId w:val="5"/>
        </w:numPr>
        <w:ind w:left="567" w:hanging="567"/>
        <w:jc w:val="left"/>
        <w:rPr>
          <w:sz w:val="24"/>
          <w:szCs w:val="24"/>
          <w:lang w:val="en-GB"/>
        </w:rPr>
      </w:pPr>
      <w:r w:rsidRPr="00067920">
        <w:rPr>
          <w:sz w:val="24"/>
          <w:szCs w:val="24"/>
          <w:lang w:val="en-GB"/>
        </w:rPr>
        <w:t xml:space="preserve">The right to disclosure </w:t>
      </w:r>
      <w:r w:rsidRPr="00583CCC">
        <w:rPr>
          <w:b/>
          <w:bCs/>
          <w:sz w:val="24"/>
          <w:szCs w:val="24"/>
          <w:lang w:val="en-GB"/>
        </w:rPr>
        <w:t>should</w:t>
      </w:r>
      <w:r w:rsidRPr="00067920">
        <w:rPr>
          <w:sz w:val="24"/>
          <w:szCs w:val="24"/>
          <w:lang w:val="en-GB"/>
        </w:rPr>
        <w:t xml:space="preserve"> apply </w:t>
      </w:r>
      <w:r w:rsidRPr="00067920">
        <w:rPr>
          <w:b/>
          <w:sz w:val="24"/>
          <w:szCs w:val="24"/>
          <w:lang w:val="en-GB"/>
        </w:rPr>
        <w:t>from the</w:t>
      </w:r>
      <w:r>
        <w:rPr>
          <w:bCs/>
          <w:sz w:val="24"/>
          <w:szCs w:val="24"/>
          <w:lang w:val="en-GB"/>
        </w:rPr>
        <w:t xml:space="preserve"> 6st of January 2018 </w:t>
      </w:r>
      <w:r w:rsidRPr="00067920">
        <w:rPr>
          <w:sz w:val="24"/>
          <w:szCs w:val="24"/>
          <w:lang w:val="en-GB"/>
        </w:rPr>
        <w:t xml:space="preserve">(six months after the Act has entered into force as a preparatory period for employers, works councils and parties </w:t>
      </w:r>
      <w:r>
        <w:rPr>
          <w:sz w:val="24"/>
          <w:szCs w:val="24"/>
          <w:lang w:val="en-GB"/>
        </w:rPr>
        <w:t xml:space="preserve">to </w:t>
      </w:r>
      <w:r w:rsidRPr="00067920">
        <w:rPr>
          <w:sz w:val="24"/>
          <w:szCs w:val="24"/>
          <w:lang w:val="en-GB"/>
        </w:rPr>
        <w:t>collective agreement</w:t>
      </w:r>
      <w:r>
        <w:rPr>
          <w:sz w:val="24"/>
          <w:szCs w:val="24"/>
          <w:lang w:val="en-GB"/>
        </w:rPr>
        <w:t>s</w:t>
      </w:r>
      <w:r w:rsidRPr="00067920">
        <w:rPr>
          <w:sz w:val="24"/>
          <w:szCs w:val="24"/>
          <w:lang w:val="en-GB"/>
        </w:rPr>
        <w:t xml:space="preserve">). </w:t>
      </w:r>
    </w:p>
    <w:p w:rsidR="007D45C5" w:rsidRPr="00067920" w:rsidRDefault="007D45C5" w:rsidP="007D45C5">
      <w:pPr>
        <w:pStyle w:val="Text"/>
        <w:ind w:left="567"/>
        <w:jc w:val="left"/>
        <w:rPr>
          <w:sz w:val="24"/>
          <w:szCs w:val="24"/>
          <w:lang w:val="en-GB"/>
        </w:rPr>
      </w:pPr>
    </w:p>
    <w:p w:rsidR="007D45C5" w:rsidRPr="00067920" w:rsidRDefault="007D45C5" w:rsidP="007D45C5">
      <w:pPr>
        <w:pStyle w:val="Text"/>
        <w:numPr>
          <w:ilvl w:val="0"/>
          <w:numId w:val="2"/>
        </w:numPr>
        <w:ind w:left="567" w:hanging="567"/>
        <w:rPr>
          <w:b/>
          <w:sz w:val="24"/>
          <w:szCs w:val="24"/>
          <w:lang w:val="en-GB"/>
        </w:rPr>
      </w:pPr>
      <w:r w:rsidRPr="00067920">
        <w:rPr>
          <w:b/>
          <w:sz w:val="24"/>
          <w:szCs w:val="24"/>
          <w:lang w:val="en-GB"/>
        </w:rPr>
        <w:t xml:space="preserve">Internal company </w:t>
      </w:r>
      <w:r>
        <w:rPr>
          <w:b/>
          <w:sz w:val="24"/>
          <w:szCs w:val="24"/>
          <w:lang w:val="en-GB"/>
        </w:rPr>
        <w:t xml:space="preserve">pay reviews </w:t>
      </w:r>
    </w:p>
    <w:p w:rsidR="007D45C5" w:rsidRPr="00067920" w:rsidRDefault="007D45C5" w:rsidP="007D45C5">
      <w:pPr>
        <w:pStyle w:val="Text"/>
        <w:numPr>
          <w:ilvl w:val="0"/>
          <w:numId w:val="5"/>
        </w:numPr>
        <w:ind w:left="567" w:hanging="567"/>
        <w:jc w:val="left"/>
        <w:rPr>
          <w:sz w:val="24"/>
          <w:szCs w:val="24"/>
          <w:lang w:val="en-GB"/>
        </w:rPr>
      </w:pPr>
      <w:r w:rsidRPr="00067920">
        <w:rPr>
          <w:bCs/>
          <w:sz w:val="24"/>
          <w:szCs w:val="24"/>
          <w:lang w:val="en-GB"/>
        </w:rPr>
        <w:t>Private</w:t>
      </w:r>
      <w:r>
        <w:rPr>
          <w:bCs/>
          <w:sz w:val="24"/>
          <w:szCs w:val="24"/>
          <w:lang w:val="en-GB"/>
        </w:rPr>
        <w:t>-sector</w:t>
      </w:r>
      <w:r w:rsidRPr="00067920">
        <w:rPr>
          <w:bCs/>
          <w:sz w:val="24"/>
          <w:szCs w:val="24"/>
          <w:lang w:val="en-GB"/>
        </w:rPr>
        <w:t xml:space="preserve"> employers with more than 500 employees</w:t>
      </w:r>
      <w:r w:rsidRPr="00067920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are </w:t>
      </w:r>
      <w:r w:rsidRPr="00067920">
        <w:rPr>
          <w:sz w:val="24"/>
          <w:szCs w:val="24"/>
          <w:lang w:val="en-GB"/>
        </w:rPr>
        <w:t xml:space="preserve">called on to carry out </w:t>
      </w:r>
      <w:r>
        <w:rPr>
          <w:sz w:val="24"/>
          <w:szCs w:val="24"/>
          <w:lang w:val="en-GB"/>
        </w:rPr>
        <w:t xml:space="preserve">pay reviews </w:t>
      </w:r>
      <w:r w:rsidRPr="00067920">
        <w:rPr>
          <w:sz w:val="24"/>
          <w:szCs w:val="24"/>
          <w:lang w:val="en-GB"/>
        </w:rPr>
        <w:t>to verify and create equal pay</w:t>
      </w:r>
      <w:r>
        <w:rPr>
          <w:sz w:val="24"/>
          <w:szCs w:val="24"/>
          <w:lang w:val="en-GB"/>
        </w:rPr>
        <w:t>.</w:t>
      </w:r>
      <w:r w:rsidRPr="00067920">
        <w:rPr>
          <w:sz w:val="24"/>
          <w:szCs w:val="24"/>
          <w:lang w:val="en-GB"/>
        </w:rPr>
        <w:t xml:space="preserve"> </w:t>
      </w:r>
    </w:p>
    <w:p w:rsidR="007D45C5" w:rsidRPr="00067920" w:rsidRDefault="007D45C5" w:rsidP="007D45C5">
      <w:pPr>
        <w:pStyle w:val="Text"/>
        <w:numPr>
          <w:ilvl w:val="0"/>
          <w:numId w:val="5"/>
        </w:numPr>
        <w:ind w:left="567" w:hanging="567"/>
        <w:jc w:val="left"/>
        <w:rPr>
          <w:sz w:val="24"/>
          <w:szCs w:val="24"/>
          <w:lang w:val="en-GB"/>
        </w:rPr>
      </w:pPr>
      <w:r w:rsidRPr="00067920">
        <w:rPr>
          <w:sz w:val="24"/>
          <w:szCs w:val="24"/>
          <w:lang w:val="en-GB"/>
        </w:rPr>
        <w:t xml:space="preserve">Implemented </w:t>
      </w:r>
      <w:r>
        <w:rPr>
          <w:sz w:val="24"/>
          <w:szCs w:val="24"/>
          <w:lang w:val="en-GB"/>
        </w:rPr>
        <w:t>at</w:t>
      </w:r>
      <w:r w:rsidRPr="00067920">
        <w:rPr>
          <w:sz w:val="24"/>
          <w:szCs w:val="24"/>
          <w:lang w:val="en-GB"/>
        </w:rPr>
        <w:t xml:space="preserve"> employers’ own responsibility, with the involvement </w:t>
      </w:r>
      <w:r>
        <w:rPr>
          <w:sz w:val="24"/>
          <w:szCs w:val="24"/>
          <w:lang w:val="en-GB"/>
        </w:rPr>
        <w:t>of the employees’ representatives</w:t>
      </w:r>
    </w:p>
    <w:p w:rsidR="007D45C5" w:rsidRDefault="007D45C5" w:rsidP="007D45C5">
      <w:pPr>
        <w:pStyle w:val="Text"/>
        <w:numPr>
          <w:ilvl w:val="0"/>
          <w:numId w:val="5"/>
        </w:numPr>
        <w:ind w:left="567" w:hanging="567"/>
        <w:jc w:val="left"/>
        <w:rPr>
          <w:sz w:val="24"/>
          <w:szCs w:val="24"/>
          <w:lang w:val="en-GB"/>
        </w:rPr>
      </w:pPr>
      <w:r w:rsidRPr="00067920">
        <w:rPr>
          <w:sz w:val="24"/>
          <w:szCs w:val="24"/>
          <w:lang w:val="en-GB"/>
        </w:rPr>
        <w:lastRenderedPageBreak/>
        <w:t>Employees and the works council are to be informed of the outcome of the procedure.</w:t>
      </w:r>
    </w:p>
    <w:p w:rsidR="007D45C5" w:rsidRPr="00067920" w:rsidRDefault="007D45C5" w:rsidP="007D45C5">
      <w:pPr>
        <w:pStyle w:val="Text"/>
        <w:ind w:left="567"/>
        <w:jc w:val="left"/>
        <w:rPr>
          <w:sz w:val="24"/>
          <w:szCs w:val="24"/>
          <w:lang w:val="en-GB"/>
        </w:rPr>
      </w:pPr>
    </w:p>
    <w:p w:rsidR="007D45C5" w:rsidRPr="00067920" w:rsidRDefault="007D45C5" w:rsidP="007D45C5">
      <w:pPr>
        <w:pStyle w:val="ListeStufe1"/>
        <w:numPr>
          <w:ilvl w:val="0"/>
          <w:numId w:val="0"/>
        </w:numPr>
        <w:ind w:left="425"/>
        <w:rPr>
          <w:sz w:val="24"/>
          <w:szCs w:val="24"/>
          <w:lang w:val="en-GB"/>
        </w:rPr>
      </w:pPr>
    </w:p>
    <w:p w:rsidR="007D45C5" w:rsidRPr="00067920" w:rsidRDefault="007D45C5" w:rsidP="007D45C5">
      <w:pPr>
        <w:pStyle w:val="Text"/>
        <w:numPr>
          <w:ilvl w:val="0"/>
          <w:numId w:val="2"/>
        </w:numPr>
        <w:ind w:left="567" w:hanging="567"/>
        <w:rPr>
          <w:b/>
          <w:sz w:val="24"/>
          <w:szCs w:val="24"/>
          <w:lang w:val="en-GB"/>
        </w:rPr>
      </w:pPr>
      <w:r w:rsidRPr="00067920">
        <w:rPr>
          <w:b/>
          <w:sz w:val="24"/>
          <w:szCs w:val="24"/>
          <w:lang w:val="en-GB"/>
        </w:rPr>
        <w:t xml:space="preserve">Obligation to report </w:t>
      </w:r>
      <w:r>
        <w:rPr>
          <w:b/>
          <w:sz w:val="24"/>
          <w:szCs w:val="24"/>
          <w:lang w:val="en-GB"/>
        </w:rPr>
        <w:t xml:space="preserve">on pay </w:t>
      </w:r>
    </w:p>
    <w:p w:rsidR="007D45C5" w:rsidRPr="00067920" w:rsidRDefault="007D45C5" w:rsidP="007D45C5">
      <w:pPr>
        <w:pStyle w:val="Text"/>
        <w:numPr>
          <w:ilvl w:val="0"/>
          <w:numId w:val="5"/>
        </w:numPr>
        <w:ind w:left="567" w:hanging="567"/>
        <w:jc w:val="left"/>
        <w:rPr>
          <w:sz w:val="24"/>
          <w:szCs w:val="24"/>
          <w:lang w:val="en-GB"/>
        </w:rPr>
      </w:pPr>
      <w:r w:rsidRPr="00067920">
        <w:rPr>
          <w:sz w:val="24"/>
          <w:szCs w:val="24"/>
          <w:lang w:val="en-GB"/>
        </w:rPr>
        <w:t>Introduction of an obligation to report on equality and equal pay of women and men for employers with as a rule more than 500 employe</w:t>
      </w:r>
      <w:r>
        <w:rPr>
          <w:sz w:val="24"/>
          <w:szCs w:val="24"/>
          <w:lang w:val="en-GB"/>
        </w:rPr>
        <w:t>e</w:t>
      </w:r>
      <w:r w:rsidRPr="00067920">
        <w:rPr>
          <w:sz w:val="24"/>
          <w:szCs w:val="24"/>
          <w:lang w:val="en-GB"/>
        </w:rPr>
        <w:t xml:space="preserve">s if they are </w:t>
      </w:r>
      <w:r w:rsidRPr="00067920">
        <w:rPr>
          <w:bCs/>
          <w:sz w:val="24"/>
          <w:szCs w:val="24"/>
          <w:lang w:val="en-GB"/>
        </w:rPr>
        <w:t>obliged to file a management report</w:t>
      </w:r>
      <w:r w:rsidRPr="00067920">
        <w:rPr>
          <w:sz w:val="24"/>
          <w:szCs w:val="24"/>
          <w:lang w:val="en-GB"/>
        </w:rPr>
        <w:t xml:space="preserve"> in accordance with the Commercial Code (</w:t>
      </w:r>
      <w:proofErr w:type="spellStart"/>
      <w:r w:rsidRPr="00067920">
        <w:rPr>
          <w:i/>
          <w:iCs/>
          <w:sz w:val="24"/>
          <w:szCs w:val="24"/>
          <w:lang w:val="en-GB"/>
        </w:rPr>
        <w:t>Handelsgesetzbuch</w:t>
      </w:r>
      <w:proofErr w:type="spellEnd"/>
      <w:r w:rsidRPr="00067920">
        <w:rPr>
          <w:sz w:val="24"/>
          <w:szCs w:val="24"/>
          <w:lang w:val="en-GB"/>
        </w:rPr>
        <w:t xml:space="preserve">) </w:t>
      </w:r>
    </w:p>
    <w:p w:rsidR="007D45C5" w:rsidRPr="00067920" w:rsidRDefault="007D45C5" w:rsidP="007D45C5">
      <w:pPr>
        <w:pStyle w:val="Text"/>
        <w:numPr>
          <w:ilvl w:val="0"/>
          <w:numId w:val="5"/>
        </w:numPr>
        <w:ind w:left="567" w:hanging="567"/>
        <w:jc w:val="left"/>
        <w:rPr>
          <w:sz w:val="24"/>
          <w:szCs w:val="24"/>
          <w:lang w:val="en-GB"/>
        </w:rPr>
      </w:pPr>
      <w:r w:rsidRPr="00067920">
        <w:rPr>
          <w:sz w:val="24"/>
          <w:szCs w:val="24"/>
          <w:lang w:val="en-GB"/>
        </w:rPr>
        <w:t xml:space="preserve">Roughly 4,000 companies </w:t>
      </w:r>
      <w:r>
        <w:rPr>
          <w:sz w:val="24"/>
          <w:szCs w:val="24"/>
          <w:lang w:val="en-GB"/>
        </w:rPr>
        <w:t>will be</w:t>
      </w:r>
      <w:r w:rsidRPr="00067920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obliged</w:t>
      </w:r>
      <w:r w:rsidRPr="00067920">
        <w:rPr>
          <w:sz w:val="24"/>
          <w:szCs w:val="24"/>
          <w:lang w:val="en-GB"/>
        </w:rPr>
        <w:t xml:space="preserve"> to report regularly on</w:t>
      </w:r>
    </w:p>
    <w:p w:rsidR="007D45C5" w:rsidRPr="00067920" w:rsidRDefault="007D45C5" w:rsidP="007D45C5">
      <w:pPr>
        <w:pStyle w:val="Text"/>
        <w:numPr>
          <w:ilvl w:val="0"/>
          <w:numId w:val="3"/>
        </w:numPr>
        <w:tabs>
          <w:tab w:val="left" w:pos="900"/>
        </w:tabs>
        <w:ind w:left="900" w:hanging="333"/>
        <w:rPr>
          <w:sz w:val="24"/>
          <w:szCs w:val="24"/>
          <w:lang w:val="en-GB"/>
        </w:rPr>
      </w:pPr>
      <w:r w:rsidRPr="00067920">
        <w:rPr>
          <w:sz w:val="24"/>
          <w:szCs w:val="24"/>
          <w:lang w:val="en-GB"/>
        </w:rPr>
        <w:t>the measures for promoting equality of women and men and their impact,</w:t>
      </w:r>
    </w:p>
    <w:p w:rsidR="007D45C5" w:rsidRPr="00067920" w:rsidRDefault="007D45C5" w:rsidP="007D45C5">
      <w:pPr>
        <w:pStyle w:val="Text"/>
        <w:numPr>
          <w:ilvl w:val="0"/>
          <w:numId w:val="3"/>
        </w:numPr>
        <w:tabs>
          <w:tab w:val="left" w:pos="900"/>
        </w:tabs>
        <w:ind w:left="900" w:hanging="333"/>
        <w:rPr>
          <w:sz w:val="24"/>
          <w:szCs w:val="24"/>
          <w:lang w:val="en-GB"/>
        </w:rPr>
      </w:pPr>
      <w:r w:rsidRPr="00067920">
        <w:rPr>
          <w:sz w:val="24"/>
          <w:szCs w:val="24"/>
          <w:lang w:val="en-GB"/>
        </w:rPr>
        <w:t xml:space="preserve">the measures to establish equal pay, for instance </w:t>
      </w:r>
      <w:r>
        <w:rPr>
          <w:sz w:val="24"/>
          <w:szCs w:val="24"/>
          <w:lang w:val="en-GB"/>
        </w:rPr>
        <w:t>via the appl</w:t>
      </w:r>
      <w:r w:rsidRPr="00067920">
        <w:rPr>
          <w:sz w:val="24"/>
          <w:szCs w:val="24"/>
          <w:lang w:val="en-GB"/>
        </w:rPr>
        <w:t>i</w:t>
      </w:r>
      <w:r>
        <w:rPr>
          <w:sz w:val="24"/>
          <w:szCs w:val="24"/>
          <w:lang w:val="en-GB"/>
        </w:rPr>
        <w:t>cable</w:t>
      </w:r>
      <w:r w:rsidRPr="00067920">
        <w:rPr>
          <w:sz w:val="24"/>
          <w:szCs w:val="24"/>
          <w:lang w:val="en-GB"/>
        </w:rPr>
        <w:t xml:space="preserve"> pay arrangements and job evaluation procedures, </w:t>
      </w:r>
    </w:p>
    <w:p w:rsidR="007D45C5" w:rsidRPr="00067920" w:rsidRDefault="007D45C5" w:rsidP="007D45C5">
      <w:pPr>
        <w:pStyle w:val="Text"/>
        <w:numPr>
          <w:ilvl w:val="0"/>
          <w:numId w:val="5"/>
        </w:numPr>
        <w:ind w:left="567" w:hanging="567"/>
        <w:jc w:val="left"/>
        <w:rPr>
          <w:sz w:val="24"/>
          <w:szCs w:val="24"/>
          <w:lang w:val="en-GB"/>
        </w:rPr>
      </w:pPr>
      <w:r w:rsidRPr="00067920">
        <w:rPr>
          <w:sz w:val="24"/>
          <w:szCs w:val="24"/>
          <w:lang w:val="en-GB"/>
        </w:rPr>
        <w:t>Employers</w:t>
      </w:r>
      <w:r>
        <w:rPr>
          <w:sz w:val="24"/>
          <w:szCs w:val="24"/>
          <w:lang w:val="en-GB"/>
        </w:rPr>
        <w:t xml:space="preserve"> bound by a c</w:t>
      </w:r>
      <w:r w:rsidRPr="00067920">
        <w:rPr>
          <w:sz w:val="24"/>
          <w:szCs w:val="24"/>
          <w:lang w:val="en-GB"/>
        </w:rPr>
        <w:t xml:space="preserve">ollective agreement </w:t>
      </w:r>
      <w:r>
        <w:rPr>
          <w:sz w:val="24"/>
          <w:szCs w:val="24"/>
          <w:lang w:val="en-GB"/>
        </w:rPr>
        <w:t>a</w:t>
      </w:r>
      <w:r w:rsidRPr="00067920">
        <w:rPr>
          <w:sz w:val="24"/>
          <w:szCs w:val="24"/>
          <w:lang w:val="en-GB"/>
        </w:rPr>
        <w:t xml:space="preserve">nd </w:t>
      </w:r>
      <w:r>
        <w:rPr>
          <w:sz w:val="24"/>
          <w:szCs w:val="24"/>
          <w:lang w:val="en-GB"/>
        </w:rPr>
        <w:t>those voluntarily applying such an agreement</w:t>
      </w:r>
      <w:r w:rsidRPr="00067920">
        <w:rPr>
          <w:sz w:val="24"/>
          <w:szCs w:val="24"/>
          <w:lang w:val="en-GB"/>
        </w:rPr>
        <w:t xml:space="preserve"> draw up the report every five years; all others every </w:t>
      </w:r>
      <w:r>
        <w:rPr>
          <w:sz w:val="24"/>
          <w:szCs w:val="24"/>
          <w:lang w:val="en-GB"/>
        </w:rPr>
        <w:t>three</w:t>
      </w:r>
      <w:r w:rsidRPr="00067920">
        <w:rPr>
          <w:sz w:val="24"/>
          <w:szCs w:val="24"/>
          <w:lang w:val="en-GB"/>
        </w:rPr>
        <w:t xml:space="preserve"> years.</w:t>
      </w:r>
    </w:p>
    <w:p w:rsidR="007D45C5" w:rsidRPr="00067920" w:rsidRDefault="007D45C5" w:rsidP="007D45C5">
      <w:pPr>
        <w:pStyle w:val="Text"/>
        <w:numPr>
          <w:ilvl w:val="0"/>
          <w:numId w:val="5"/>
        </w:numPr>
        <w:ind w:left="567" w:hanging="567"/>
        <w:jc w:val="left"/>
        <w:rPr>
          <w:sz w:val="24"/>
          <w:szCs w:val="24"/>
          <w:lang w:val="en-GB"/>
        </w:rPr>
      </w:pPr>
      <w:r w:rsidRPr="00067920">
        <w:rPr>
          <w:sz w:val="24"/>
          <w:szCs w:val="24"/>
          <w:lang w:val="en-GB"/>
        </w:rPr>
        <w:t xml:space="preserve">The first report should be drawn up for </w:t>
      </w:r>
      <w:r>
        <w:rPr>
          <w:sz w:val="24"/>
          <w:szCs w:val="24"/>
          <w:lang w:val="en-GB"/>
        </w:rPr>
        <w:t>2016 in 2018</w:t>
      </w:r>
      <w:r w:rsidRPr="00067920">
        <w:rPr>
          <w:sz w:val="24"/>
          <w:szCs w:val="24"/>
          <w:lang w:val="en-GB"/>
        </w:rPr>
        <w:t>.</w:t>
      </w:r>
    </w:p>
    <w:p w:rsidR="007D45C5" w:rsidRPr="00067920" w:rsidRDefault="007D45C5" w:rsidP="007D45C5">
      <w:pPr>
        <w:pStyle w:val="Text"/>
        <w:numPr>
          <w:ilvl w:val="0"/>
          <w:numId w:val="5"/>
        </w:numPr>
        <w:ind w:left="567" w:hanging="567"/>
        <w:jc w:val="left"/>
        <w:rPr>
          <w:sz w:val="24"/>
          <w:szCs w:val="24"/>
          <w:lang w:val="en-GB"/>
        </w:rPr>
      </w:pPr>
      <w:r w:rsidRPr="00067920">
        <w:rPr>
          <w:sz w:val="24"/>
          <w:szCs w:val="24"/>
          <w:lang w:val="en-GB"/>
        </w:rPr>
        <w:t xml:space="preserve">The reports are to be published in the Federal </w:t>
      </w:r>
      <w:r>
        <w:rPr>
          <w:sz w:val="24"/>
          <w:szCs w:val="24"/>
          <w:lang w:val="en-GB"/>
        </w:rPr>
        <w:t xml:space="preserve">Law </w:t>
      </w:r>
      <w:r w:rsidRPr="00067920">
        <w:rPr>
          <w:sz w:val="24"/>
          <w:szCs w:val="24"/>
          <w:lang w:val="en-GB"/>
        </w:rPr>
        <w:t>Gazette (</w:t>
      </w:r>
      <w:proofErr w:type="spellStart"/>
      <w:r w:rsidRPr="00067920">
        <w:rPr>
          <w:i/>
          <w:iCs/>
          <w:sz w:val="24"/>
          <w:szCs w:val="24"/>
          <w:lang w:val="en-GB"/>
        </w:rPr>
        <w:t>Bundesanzeiger</w:t>
      </w:r>
      <w:proofErr w:type="spellEnd"/>
      <w:r w:rsidRPr="00067920">
        <w:rPr>
          <w:sz w:val="24"/>
          <w:szCs w:val="24"/>
          <w:lang w:val="en-GB"/>
        </w:rPr>
        <w:t xml:space="preserve">) and </w:t>
      </w:r>
      <w:proofErr w:type="spellStart"/>
      <w:r w:rsidRPr="00067920">
        <w:rPr>
          <w:sz w:val="24"/>
          <w:szCs w:val="24"/>
          <w:lang w:val="en-GB"/>
        </w:rPr>
        <w:t>appendixed</w:t>
      </w:r>
      <w:proofErr w:type="spellEnd"/>
      <w:r w:rsidRPr="00067920">
        <w:rPr>
          <w:sz w:val="24"/>
          <w:szCs w:val="24"/>
          <w:lang w:val="en-GB"/>
        </w:rPr>
        <w:t xml:space="preserve"> to the management report.</w:t>
      </w:r>
    </w:p>
    <w:p w:rsidR="007D45C5" w:rsidRPr="00067920" w:rsidRDefault="007D45C5" w:rsidP="007D45C5">
      <w:pPr>
        <w:pStyle w:val="Text"/>
        <w:ind w:left="720"/>
        <w:jc w:val="left"/>
        <w:rPr>
          <w:sz w:val="24"/>
          <w:szCs w:val="24"/>
          <w:lang w:val="en-GB"/>
        </w:rPr>
      </w:pPr>
    </w:p>
    <w:p w:rsidR="007D45C5" w:rsidRPr="00067920" w:rsidRDefault="007D45C5" w:rsidP="007D45C5">
      <w:pPr>
        <w:rPr>
          <w:rFonts w:ascii="Arial" w:hAnsi="Arial" w:cs="Arial"/>
          <w:b/>
          <w:sz w:val="24"/>
          <w:szCs w:val="24"/>
          <w:lang w:val="en-GB"/>
        </w:rPr>
      </w:pPr>
      <w:r w:rsidRPr="00067920">
        <w:rPr>
          <w:rFonts w:ascii="Arial" w:hAnsi="Arial" w:cs="Arial"/>
          <w:b/>
          <w:sz w:val="24"/>
          <w:szCs w:val="24"/>
          <w:lang w:val="en-GB"/>
        </w:rPr>
        <w:t>Article 2 – Amendment of Book III of the Social</w:t>
      </w:r>
      <w:r>
        <w:rPr>
          <w:rFonts w:ascii="Arial" w:hAnsi="Arial" w:cs="Arial"/>
          <w:b/>
          <w:sz w:val="24"/>
          <w:szCs w:val="24"/>
          <w:lang w:val="en-GB"/>
        </w:rPr>
        <w:t xml:space="preserve"> Security</w:t>
      </w:r>
      <w:r w:rsidRPr="00067920">
        <w:rPr>
          <w:rFonts w:ascii="Arial" w:hAnsi="Arial" w:cs="Arial"/>
          <w:b/>
          <w:sz w:val="24"/>
          <w:szCs w:val="24"/>
          <w:lang w:val="en-GB"/>
        </w:rPr>
        <w:t xml:space="preserve"> Code (SGB III) </w:t>
      </w:r>
    </w:p>
    <w:p w:rsidR="007D45C5" w:rsidRPr="00067920" w:rsidRDefault="007D45C5" w:rsidP="007D45C5">
      <w:pPr>
        <w:jc w:val="both"/>
        <w:rPr>
          <w:rFonts w:ascii="Arial" w:hAnsi="Arial" w:cs="Arial"/>
          <w:sz w:val="24"/>
          <w:szCs w:val="24"/>
          <w:lang w:val="en-GB"/>
        </w:rPr>
      </w:pPr>
      <w:r w:rsidRPr="00067920">
        <w:rPr>
          <w:rFonts w:ascii="Arial" w:hAnsi="Arial" w:cs="Arial"/>
          <w:sz w:val="24"/>
          <w:szCs w:val="24"/>
          <w:lang w:val="en-GB"/>
        </w:rPr>
        <w:t>The goal of gender-sensitive careers advice in employment promotion is also strengthened, and hence career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067920">
        <w:rPr>
          <w:rFonts w:ascii="Arial" w:hAnsi="Arial" w:cs="Arial"/>
          <w:sz w:val="24"/>
          <w:szCs w:val="24"/>
          <w:lang w:val="en-GB"/>
        </w:rPr>
        <w:t>selection without rol</w:t>
      </w:r>
      <w:r>
        <w:rPr>
          <w:rFonts w:ascii="Arial" w:hAnsi="Arial" w:cs="Arial"/>
          <w:sz w:val="24"/>
          <w:szCs w:val="24"/>
          <w:lang w:val="en-GB"/>
        </w:rPr>
        <w:t>e</w:t>
      </w:r>
      <w:r w:rsidRPr="00067920">
        <w:rPr>
          <w:rFonts w:ascii="Arial" w:hAnsi="Arial" w:cs="Arial"/>
          <w:sz w:val="24"/>
          <w:szCs w:val="24"/>
          <w:lang w:val="en-GB"/>
        </w:rPr>
        <w:t xml:space="preserve"> stereotypes will be promoted.</w:t>
      </w:r>
    </w:p>
    <w:p w:rsidR="00EF2B0E" w:rsidRPr="007D45C5" w:rsidRDefault="00EF2B0E">
      <w:pPr>
        <w:rPr>
          <w:lang w:val="en-GB"/>
        </w:rPr>
      </w:pPr>
      <w:bookmarkStart w:id="0" w:name="_GoBack"/>
      <w:bookmarkEnd w:id="0"/>
    </w:p>
    <w:sectPr w:rsidR="00EF2B0E" w:rsidRPr="007D45C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697" w:rsidRDefault="00573697" w:rsidP="00CD6C4E">
      <w:pPr>
        <w:spacing w:after="0" w:line="240" w:lineRule="auto"/>
      </w:pPr>
      <w:r>
        <w:separator/>
      </w:r>
    </w:p>
  </w:endnote>
  <w:endnote w:type="continuationSeparator" w:id="0">
    <w:p w:rsidR="00573697" w:rsidRDefault="00573697" w:rsidP="00CD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697" w:rsidRDefault="00573697" w:rsidP="00CD6C4E">
      <w:pPr>
        <w:spacing w:after="0" w:line="240" w:lineRule="auto"/>
      </w:pPr>
      <w:r>
        <w:separator/>
      </w:r>
    </w:p>
  </w:footnote>
  <w:footnote w:type="continuationSeparator" w:id="0">
    <w:p w:rsidR="00573697" w:rsidRDefault="00573697" w:rsidP="00CD6C4E">
      <w:pPr>
        <w:spacing w:after="0" w:line="240" w:lineRule="auto"/>
      </w:pPr>
      <w:r>
        <w:continuationSeparator/>
      </w:r>
    </w:p>
  </w:footnote>
  <w:footnote w:id="1">
    <w:p w:rsidR="007D45C5" w:rsidRPr="00E60446" w:rsidRDefault="007D45C5" w:rsidP="007D45C5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E60446">
        <w:rPr>
          <w:lang w:val="en-GB"/>
        </w:rPr>
        <w:t xml:space="preserve"> </w:t>
      </w:r>
      <w:r>
        <w:rPr>
          <w:lang w:val="en-GB"/>
        </w:rPr>
        <w:t xml:space="preserve">Source: Unternehmensregister; </w:t>
      </w:r>
      <w:r w:rsidRPr="00E60446">
        <w:rPr>
          <w:lang w:val="en-GB"/>
        </w:rPr>
        <w:t>Civil servants in the</w:t>
      </w:r>
      <w:r>
        <w:rPr>
          <w:lang w:val="en-GB"/>
        </w:rPr>
        <w:t xml:space="preserve"> employ of the</w:t>
      </w:r>
      <w:r w:rsidRPr="00E60446">
        <w:rPr>
          <w:lang w:val="en-GB"/>
        </w:rPr>
        <w:t xml:space="preserve"> </w:t>
      </w:r>
      <w:proofErr w:type="spellStart"/>
      <w:r w:rsidRPr="0037663B">
        <w:rPr>
          <w:i/>
          <w:iCs/>
          <w:lang w:val="en-GB"/>
        </w:rPr>
        <w:t>Länder</w:t>
      </w:r>
      <w:proofErr w:type="spellEnd"/>
      <w:r w:rsidRPr="00E60446">
        <w:rPr>
          <w:lang w:val="en-GB"/>
        </w:rPr>
        <w:t xml:space="preserve"> are excluded from</w:t>
      </w:r>
      <w:r>
        <w:rPr>
          <w:lang w:val="en-GB"/>
        </w:rPr>
        <w:t xml:space="preserve"> the </w:t>
      </w:r>
      <w:r w:rsidRPr="00E60446">
        <w:rPr>
          <w:lang w:val="en-GB"/>
        </w:rPr>
        <w:t xml:space="preserve">right to disclosure.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4E" w:rsidRDefault="00EF2B0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-757086</wp:posOffset>
          </wp:positionH>
          <wp:positionV relativeFrom="paragraph">
            <wp:posOffset>-282575</wp:posOffset>
          </wp:positionV>
          <wp:extent cx="2369489" cy="962108"/>
          <wp:effectExtent l="0" t="0" r="0" b="0"/>
          <wp:wrapNone/>
          <wp:docPr id="5" name="Grafik 5" descr="C:\Users\dubec\Desktop\BMFSFJ Logo Englis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dubec\Desktop\BMFSFJ Logo Englis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489" cy="962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7595"/>
    <w:multiLevelType w:val="hybridMultilevel"/>
    <w:tmpl w:val="6464A8A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D70D42"/>
    <w:multiLevelType w:val="hybridMultilevel"/>
    <w:tmpl w:val="86AC1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25574"/>
    <w:multiLevelType w:val="multilevel"/>
    <w:tmpl w:val="371EF51E"/>
    <w:lvl w:ilvl="0">
      <w:start w:val="1"/>
      <w:numFmt w:val="decimal"/>
      <w:lvlRestart w:val="0"/>
      <w:pStyle w:val="ListeStufe1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none"/>
      <w:pStyle w:val="ListeFolgeabsatzStufe1"/>
      <w:lvlText w:val="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lowerLetter"/>
      <w:pStyle w:val="ListeStufe2"/>
      <w:lvlText w:val="%3)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none"/>
      <w:pStyle w:val="ListeFolgeabsatzStufe2"/>
      <w:lvlText w:val="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pStyle w:val="ListeStufe3"/>
      <w:lvlText w:val="%5%5)"/>
      <w:lvlJc w:val="left"/>
      <w:pPr>
        <w:tabs>
          <w:tab w:val="num" w:pos="1276"/>
        </w:tabs>
        <w:ind w:left="1276" w:hanging="426"/>
      </w:pPr>
      <w:rPr>
        <w:rFonts w:cs="Times New Roman"/>
      </w:rPr>
    </w:lvl>
    <w:lvl w:ilvl="5">
      <w:start w:val="1"/>
      <w:numFmt w:val="none"/>
      <w:pStyle w:val="ListeFolgeabsatzStufe3"/>
      <w:lvlText w:val="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6">
      <w:start w:val="1"/>
      <w:numFmt w:val="lowerLetter"/>
      <w:pStyle w:val="ListeStufe4"/>
      <w:lvlText w:val="%7%7%7)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7">
      <w:start w:val="1"/>
      <w:numFmt w:val="none"/>
      <w:pStyle w:val="ListeFolgeabsatzStufe4"/>
      <w:lvlText w:val=""/>
      <w:lvlJc w:val="left"/>
      <w:pPr>
        <w:tabs>
          <w:tab w:val="num" w:pos="1984"/>
        </w:tabs>
        <w:ind w:left="1984" w:hanging="1984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2ED44342"/>
    <w:multiLevelType w:val="hybridMultilevel"/>
    <w:tmpl w:val="AF98CE3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6F87453"/>
    <w:multiLevelType w:val="hybridMultilevel"/>
    <w:tmpl w:val="E9A884E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89"/>
    <w:rsid w:val="00090151"/>
    <w:rsid w:val="000C120A"/>
    <w:rsid w:val="000C7598"/>
    <w:rsid w:val="000F35CC"/>
    <w:rsid w:val="000F7498"/>
    <w:rsid w:val="00123B84"/>
    <w:rsid w:val="001A750B"/>
    <w:rsid w:val="001F1736"/>
    <w:rsid w:val="002105EC"/>
    <w:rsid w:val="002356ED"/>
    <w:rsid w:val="002A7B0C"/>
    <w:rsid w:val="002C38A4"/>
    <w:rsid w:val="003473D4"/>
    <w:rsid w:val="0039772A"/>
    <w:rsid w:val="003B7B95"/>
    <w:rsid w:val="003C06CB"/>
    <w:rsid w:val="00470E94"/>
    <w:rsid w:val="00492A73"/>
    <w:rsid w:val="004C6990"/>
    <w:rsid w:val="004F5818"/>
    <w:rsid w:val="00573697"/>
    <w:rsid w:val="005C5FE2"/>
    <w:rsid w:val="005D6D36"/>
    <w:rsid w:val="006B243C"/>
    <w:rsid w:val="006C334A"/>
    <w:rsid w:val="007D45C5"/>
    <w:rsid w:val="0083666A"/>
    <w:rsid w:val="0084516E"/>
    <w:rsid w:val="008B1B0E"/>
    <w:rsid w:val="008C332A"/>
    <w:rsid w:val="008C700C"/>
    <w:rsid w:val="00903EFB"/>
    <w:rsid w:val="00985A14"/>
    <w:rsid w:val="00A6123F"/>
    <w:rsid w:val="00A96EA1"/>
    <w:rsid w:val="00B21C4A"/>
    <w:rsid w:val="00C54DBE"/>
    <w:rsid w:val="00C5654C"/>
    <w:rsid w:val="00C632CB"/>
    <w:rsid w:val="00CD6C4E"/>
    <w:rsid w:val="00D01AEB"/>
    <w:rsid w:val="00D43D8F"/>
    <w:rsid w:val="00DB5B11"/>
    <w:rsid w:val="00DE4510"/>
    <w:rsid w:val="00E32704"/>
    <w:rsid w:val="00E45F0D"/>
    <w:rsid w:val="00E72344"/>
    <w:rsid w:val="00E80E38"/>
    <w:rsid w:val="00E84B89"/>
    <w:rsid w:val="00E86558"/>
    <w:rsid w:val="00EF2B0E"/>
    <w:rsid w:val="00EF39B3"/>
    <w:rsid w:val="00F3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45C5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0E9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7B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7B9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7B9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7B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7B95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CD6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6C4E"/>
  </w:style>
  <w:style w:type="paragraph" w:styleId="Fuzeile">
    <w:name w:val="footer"/>
    <w:basedOn w:val="Standard"/>
    <w:link w:val="FuzeileZchn"/>
    <w:uiPriority w:val="99"/>
    <w:unhideWhenUsed/>
    <w:rsid w:val="00CD6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6C4E"/>
  </w:style>
  <w:style w:type="character" w:styleId="Hyperlink">
    <w:name w:val="Hyperlink"/>
    <w:basedOn w:val="Absatz-Standardschriftart"/>
    <w:uiPriority w:val="99"/>
    <w:unhideWhenUsed/>
    <w:rsid w:val="0083666A"/>
    <w:rPr>
      <w:color w:val="0000FF" w:themeColor="hyperlink"/>
      <w:u w:val="single"/>
    </w:rPr>
  </w:style>
  <w:style w:type="paragraph" w:customStyle="1" w:styleId="Text">
    <w:name w:val="Text"/>
    <w:basedOn w:val="Standard"/>
    <w:rsid w:val="007D45C5"/>
    <w:pPr>
      <w:spacing w:before="120" w:after="120" w:line="240" w:lineRule="auto"/>
      <w:jc w:val="both"/>
    </w:pPr>
    <w:rPr>
      <w:rFonts w:ascii="Arial" w:hAnsi="Arial" w:cs="Arial"/>
    </w:rPr>
  </w:style>
  <w:style w:type="paragraph" w:customStyle="1" w:styleId="ListeStufe1">
    <w:name w:val="Liste (Stufe 1)"/>
    <w:basedOn w:val="Standard"/>
    <w:rsid w:val="007D45C5"/>
    <w:pPr>
      <w:numPr>
        <w:numId w:val="1"/>
      </w:numPr>
      <w:tabs>
        <w:tab w:val="left" w:pos="0"/>
      </w:tabs>
      <w:spacing w:before="120" w:after="120" w:line="240" w:lineRule="auto"/>
      <w:jc w:val="both"/>
    </w:pPr>
    <w:rPr>
      <w:rFonts w:ascii="Arial" w:hAnsi="Arial" w:cs="Arial"/>
    </w:rPr>
  </w:style>
  <w:style w:type="paragraph" w:customStyle="1" w:styleId="ListeFolgeabsatzStufe1">
    <w:name w:val="Liste Folgeabsatz (Stufe 1)"/>
    <w:basedOn w:val="Standard"/>
    <w:rsid w:val="007D45C5"/>
    <w:pPr>
      <w:numPr>
        <w:ilvl w:val="1"/>
        <w:numId w:val="1"/>
      </w:numPr>
      <w:spacing w:before="120" w:after="120" w:line="240" w:lineRule="auto"/>
      <w:jc w:val="both"/>
    </w:pPr>
    <w:rPr>
      <w:rFonts w:ascii="Arial" w:hAnsi="Arial" w:cs="Arial"/>
    </w:rPr>
  </w:style>
  <w:style w:type="paragraph" w:customStyle="1" w:styleId="ListeStufe2">
    <w:name w:val="Liste (Stufe 2)"/>
    <w:basedOn w:val="Standard"/>
    <w:rsid w:val="007D45C5"/>
    <w:pPr>
      <w:numPr>
        <w:ilvl w:val="2"/>
        <w:numId w:val="1"/>
      </w:numPr>
      <w:spacing w:before="120" w:after="120" w:line="240" w:lineRule="auto"/>
      <w:jc w:val="both"/>
    </w:pPr>
    <w:rPr>
      <w:rFonts w:ascii="Arial" w:hAnsi="Arial" w:cs="Arial"/>
    </w:rPr>
  </w:style>
  <w:style w:type="paragraph" w:customStyle="1" w:styleId="ListeFolgeabsatzStufe2">
    <w:name w:val="Liste Folgeabsatz (Stufe 2)"/>
    <w:basedOn w:val="Standard"/>
    <w:rsid w:val="007D45C5"/>
    <w:pPr>
      <w:numPr>
        <w:ilvl w:val="3"/>
        <w:numId w:val="1"/>
      </w:numPr>
      <w:spacing w:before="120" w:after="120" w:line="240" w:lineRule="auto"/>
      <w:jc w:val="both"/>
    </w:pPr>
    <w:rPr>
      <w:rFonts w:ascii="Arial" w:hAnsi="Arial" w:cs="Arial"/>
    </w:rPr>
  </w:style>
  <w:style w:type="paragraph" w:customStyle="1" w:styleId="ListeStufe3">
    <w:name w:val="Liste (Stufe 3)"/>
    <w:basedOn w:val="Standard"/>
    <w:rsid w:val="007D45C5"/>
    <w:pPr>
      <w:numPr>
        <w:ilvl w:val="4"/>
        <w:numId w:val="1"/>
      </w:numPr>
      <w:spacing w:before="120" w:after="120" w:line="240" w:lineRule="auto"/>
      <w:jc w:val="both"/>
    </w:pPr>
    <w:rPr>
      <w:rFonts w:ascii="Arial" w:hAnsi="Arial" w:cs="Arial"/>
    </w:rPr>
  </w:style>
  <w:style w:type="paragraph" w:customStyle="1" w:styleId="ListeFolgeabsatzStufe3">
    <w:name w:val="Liste Folgeabsatz (Stufe 3)"/>
    <w:basedOn w:val="Standard"/>
    <w:rsid w:val="007D45C5"/>
    <w:pPr>
      <w:numPr>
        <w:ilvl w:val="5"/>
        <w:numId w:val="1"/>
      </w:numPr>
      <w:spacing w:before="120" w:after="120" w:line="240" w:lineRule="auto"/>
      <w:jc w:val="both"/>
    </w:pPr>
    <w:rPr>
      <w:rFonts w:ascii="Arial" w:hAnsi="Arial" w:cs="Arial"/>
    </w:rPr>
  </w:style>
  <w:style w:type="paragraph" w:customStyle="1" w:styleId="ListeStufe4">
    <w:name w:val="Liste (Stufe 4)"/>
    <w:basedOn w:val="Standard"/>
    <w:rsid w:val="007D45C5"/>
    <w:pPr>
      <w:numPr>
        <w:ilvl w:val="6"/>
        <w:numId w:val="1"/>
      </w:numPr>
      <w:spacing w:before="120" w:after="120" w:line="240" w:lineRule="auto"/>
      <w:jc w:val="both"/>
    </w:pPr>
    <w:rPr>
      <w:rFonts w:ascii="Arial" w:hAnsi="Arial" w:cs="Arial"/>
    </w:rPr>
  </w:style>
  <w:style w:type="paragraph" w:customStyle="1" w:styleId="ListeFolgeabsatzStufe4">
    <w:name w:val="Liste Folgeabsatz (Stufe 4)"/>
    <w:basedOn w:val="Standard"/>
    <w:rsid w:val="007D45C5"/>
    <w:pPr>
      <w:numPr>
        <w:ilvl w:val="7"/>
        <w:numId w:val="1"/>
      </w:numPr>
      <w:spacing w:before="120" w:after="120" w:line="240" w:lineRule="auto"/>
      <w:jc w:val="both"/>
    </w:pPr>
    <w:rPr>
      <w:rFonts w:ascii="Arial" w:hAnsi="Arial" w:cs="Arial"/>
    </w:rPr>
  </w:style>
  <w:style w:type="paragraph" w:styleId="Funotentext">
    <w:name w:val="footnote text"/>
    <w:basedOn w:val="Standard"/>
    <w:link w:val="FunotentextZchn"/>
    <w:semiHidden/>
    <w:rsid w:val="007D45C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D45C5"/>
    <w:rPr>
      <w:rFonts w:ascii="Calibri" w:eastAsia="Times New Roman" w:hAnsi="Calibri" w:cs="Times New Roman"/>
      <w:sz w:val="20"/>
      <w:szCs w:val="20"/>
    </w:rPr>
  </w:style>
  <w:style w:type="character" w:styleId="Funotenzeichen">
    <w:name w:val="footnote reference"/>
    <w:semiHidden/>
    <w:rsid w:val="007D45C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45C5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0E9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7B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7B9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7B9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7B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7B95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CD6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6C4E"/>
  </w:style>
  <w:style w:type="paragraph" w:styleId="Fuzeile">
    <w:name w:val="footer"/>
    <w:basedOn w:val="Standard"/>
    <w:link w:val="FuzeileZchn"/>
    <w:uiPriority w:val="99"/>
    <w:unhideWhenUsed/>
    <w:rsid w:val="00CD6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6C4E"/>
  </w:style>
  <w:style w:type="character" w:styleId="Hyperlink">
    <w:name w:val="Hyperlink"/>
    <w:basedOn w:val="Absatz-Standardschriftart"/>
    <w:uiPriority w:val="99"/>
    <w:unhideWhenUsed/>
    <w:rsid w:val="0083666A"/>
    <w:rPr>
      <w:color w:val="0000FF" w:themeColor="hyperlink"/>
      <w:u w:val="single"/>
    </w:rPr>
  </w:style>
  <w:style w:type="paragraph" w:customStyle="1" w:styleId="Text">
    <w:name w:val="Text"/>
    <w:basedOn w:val="Standard"/>
    <w:rsid w:val="007D45C5"/>
    <w:pPr>
      <w:spacing w:before="120" w:after="120" w:line="240" w:lineRule="auto"/>
      <w:jc w:val="both"/>
    </w:pPr>
    <w:rPr>
      <w:rFonts w:ascii="Arial" w:hAnsi="Arial" w:cs="Arial"/>
    </w:rPr>
  </w:style>
  <w:style w:type="paragraph" w:customStyle="1" w:styleId="ListeStufe1">
    <w:name w:val="Liste (Stufe 1)"/>
    <w:basedOn w:val="Standard"/>
    <w:rsid w:val="007D45C5"/>
    <w:pPr>
      <w:numPr>
        <w:numId w:val="1"/>
      </w:numPr>
      <w:tabs>
        <w:tab w:val="left" w:pos="0"/>
      </w:tabs>
      <w:spacing w:before="120" w:after="120" w:line="240" w:lineRule="auto"/>
      <w:jc w:val="both"/>
    </w:pPr>
    <w:rPr>
      <w:rFonts w:ascii="Arial" w:hAnsi="Arial" w:cs="Arial"/>
    </w:rPr>
  </w:style>
  <w:style w:type="paragraph" w:customStyle="1" w:styleId="ListeFolgeabsatzStufe1">
    <w:name w:val="Liste Folgeabsatz (Stufe 1)"/>
    <w:basedOn w:val="Standard"/>
    <w:rsid w:val="007D45C5"/>
    <w:pPr>
      <w:numPr>
        <w:ilvl w:val="1"/>
        <w:numId w:val="1"/>
      </w:numPr>
      <w:spacing w:before="120" w:after="120" w:line="240" w:lineRule="auto"/>
      <w:jc w:val="both"/>
    </w:pPr>
    <w:rPr>
      <w:rFonts w:ascii="Arial" w:hAnsi="Arial" w:cs="Arial"/>
    </w:rPr>
  </w:style>
  <w:style w:type="paragraph" w:customStyle="1" w:styleId="ListeStufe2">
    <w:name w:val="Liste (Stufe 2)"/>
    <w:basedOn w:val="Standard"/>
    <w:rsid w:val="007D45C5"/>
    <w:pPr>
      <w:numPr>
        <w:ilvl w:val="2"/>
        <w:numId w:val="1"/>
      </w:numPr>
      <w:spacing w:before="120" w:after="120" w:line="240" w:lineRule="auto"/>
      <w:jc w:val="both"/>
    </w:pPr>
    <w:rPr>
      <w:rFonts w:ascii="Arial" w:hAnsi="Arial" w:cs="Arial"/>
    </w:rPr>
  </w:style>
  <w:style w:type="paragraph" w:customStyle="1" w:styleId="ListeFolgeabsatzStufe2">
    <w:name w:val="Liste Folgeabsatz (Stufe 2)"/>
    <w:basedOn w:val="Standard"/>
    <w:rsid w:val="007D45C5"/>
    <w:pPr>
      <w:numPr>
        <w:ilvl w:val="3"/>
        <w:numId w:val="1"/>
      </w:numPr>
      <w:spacing w:before="120" w:after="120" w:line="240" w:lineRule="auto"/>
      <w:jc w:val="both"/>
    </w:pPr>
    <w:rPr>
      <w:rFonts w:ascii="Arial" w:hAnsi="Arial" w:cs="Arial"/>
    </w:rPr>
  </w:style>
  <w:style w:type="paragraph" w:customStyle="1" w:styleId="ListeStufe3">
    <w:name w:val="Liste (Stufe 3)"/>
    <w:basedOn w:val="Standard"/>
    <w:rsid w:val="007D45C5"/>
    <w:pPr>
      <w:numPr>
        <w:ilvl w:val="4"/>
        <w:numId w:val="1"/>
      </w:numPr>
      <w:spacing w:before="120" w:after="120" w:line="240" w:lineRule="auto"/>
      <w:jc w:val="both"/>
    </w:pPr>
    <w:rPr>
      <w:rFonts w:ascii="Arial" w:hAnsi="Arial" w:cs="Arial"/>
    </w:rPr>
  </w:style>
  <w:style w:type="paragraph" w:customStyle="1" w:styleId="ListeFolgeabsatzStufe3">
    <w:name w:val="Liste Folgeabsatz (Stufe 3)"/>
    <w:basedOn w:val="Standard"/>
    <w:rsid w:val="007D45C5"/>
    <w:pPr>
      <w:numPr>
        <w:ilvl w:val="5"/>
        <w:numId w:val="1"/>
      </w:numPr>
      <w:spacing w:before="120" w:after="120" w:line="240" w:lineRule="auto"/>
      <w:jc w:val="both"/>
    </w:pPr>
    <w:rPr>
      <w:rFonts w:ascii="Arial" w:hAnsi="Arial" w:cs="Arial"/>
    </w:rPr>
  </w:style>
  <w:style w:type="paragraph" w:customStyle="1" w:styleId="ListeStufe4">
    <w:name w:val="Liste (Stufe 4)"/>
    <w:basedOn w:val="Standard"/>
    <w:rsid w:val="007D45C5"/>
    <w:pPr>
      <w:numPr>
        <w:ilvl w:val="6"/>
        <w:numId w:val="1"/>
      </w:numPr>
      <w:spacing w:before="120" w:after="120" w:line="240" w:lineRule="auto"/>
      <w:jc w:val="both"/>
    </w:pPr>
    <w:rPr>
      <w:rFonts w:ascii="Arial" w:hAnsi="Arial" w:cs="Arial"/>
    </w:rPr>
  </w:style>
  <w:style w:type="paragraph" w:customStyle="1" w:styleId="ListeFolgeabsatzStufe4">
    <w:name w:val="Liste Folgeabsatz (Stufe 4)"/>
    <w:basedOn w:val="Standard"/>
    <w:rsid w:val="007D45C5"/>
    <w:pPr>
      <w:numPr>
        <w:ilvl w:val="7"/>
        <w:numId w:val="1"/>
      </w:numPr>
      <w:spacing w:before="120" w:after="120" w:line="240" w:lineRule="auto"/>
      <w:jc w:val="both"/>
    </w:pPr>
    <w:rPr>
      <w:rFonts w:ascii="Arial" w:hAnsi="Arial" w:cs="Arial"/>
    </w:rPr>
  </w:style>
  <w:style w:type="paragraph" w:styleId="Funotentext">
    <w:name w:val="footnote text"/>
    <w:basedOn w:val="Standard"/>
    <w:link w:val="FunotentextZchn"/>
    <w:semiHidden/>
    <w:rsid w:val="007D45C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D45C5"/>
    <w:rPr>
      <w:rFonts w:ascii="Calibri" w:eastAsia="Times New Roman" w:hAnsi="Calibri" w:cs="Times New Roman"/>
      <w:sz w:val="20"/>
      <w:szCs w:val="20"/>
    </w:rPr>
  </w:style>
  <w:style w:type="character" w:styleId="Funotenzeichen">
    <w:name w:val="footnote reference"/>
    <w:semiHidden/>
    <w:rsid w:val="007D45C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BMFSFJ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Heinze, Dr. Anja</dc:creator>
  <cp:keywords/>
  <dc:description/>
  <cp:lastModifiedBy>Heinze, Dr. Anja</cp:lastModifiedBy>
  <cp:revision>2</cp:revision>
  <dcterms:created xsi:type="dcterms:W3CDTF">2017-08-30T07:43:00Z</dcterms:created>
  <dcterms:modified xsi:type="dcterms:W3CDTF">2017-08-30T07:43:00Z</dcterms:modified>
</cp:coreProperties>
</file>